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933E0">
      <w:pPr>
        <w:keepNext w:val="0"/>
        <w:keepLines w:val="0"/>
        <w:pageBreakBefore w:val="0"/>
        <w:kinsoku/>
        <w:wordWrap/>
        <w:overflowPunct/>
        <w:topLinePunct w:val="0"/>
        <w:autoSpaceDN/>
        <w:bidi w:val="0"/>
        <w:spacing w:beforeAutospacing="0" w:afterAutospacing="0" w:line="576" w:lineRule="exact"/>
        <w:ind w:left="0" w:leftChars="0"/>
        <w:textAlignment w:val="auto"/>
        <w:rPr>
          <w:rFonts w:hint="eastAsia" w:ascii="黑体" w:hAnsi="黑体" w:eastAsia="黑体" w:cs="黑体"/>
          <w:sz w:val="24"/>
          <w:szCs w:val="24"/>
          <w:lang w:val="en-US" w:eastAsia="zh-CN"/>
        </w:rPr>
      </w:pPr>
    </w:p>
    <w:p w14:paraId="67CF4523">
      <w:pPr>
        <w:keepNext w:val="0"/>
        <w:keepLines w:val="0"/>
        <w:pageBreakBefore w:val="0"/>
        <w:kinsoku/>
        <w:wordWrap/>
        <w:overflowPunct/>
        <w:topLinePunct w:val="0"/>
        <w:autoSpaceDN/>
        <w:bidi w:val="0"/>
        <w:spacing w:beforeAutospacing="0" w:afterAutospacing="0" w:line="576" w:lineRule="exact"/>
        <w:ind w:left="0" w:leftChars="0"/>
        <w:textAlignment w:val="auto"/>
      </w:pPr>
    </w:p>
    <w:p w14:paraId="52C69FA0">
      <w:pPr>
        <w:keepNext w:val="0"/>
        <w:keepLines w:val="0"/>
        <w:pageBreakBefore w:val="0"/>
        <w:kinsoku/>
        <w:wordWrap/>
        <w:overflowPunct/>
        <w:topLinePunct w:val="0"/>
        <w:autoSpaceDN/>
        <w:bidi w:val="0"/>
        <w:spacing w:beforeAutospacing="0" w:afterAutospacing="0" w:line="576" w:lineRule="exact"/>
        <w:ind w:left="0" w:leftChars="0"/>
        <w:jc w:val="center"/>
        <w:textAlignment w:val="auto"/>
        <w:rPr>
          <w:rFonts w:hint="eastAsia" w:ascii="方正小标宋简体" w:eastAsia="方正小标宋简体"/>
          <w:sz w:val="44"/>
          <w:szCs w:val="44"/>
        </w:rPr>
      </w:pPr>
      <w:r>
        <w:rPr>
          <w:rFonts w:hint="eastAsia" w:ascii="方正小标宋简体" w:eastAsia="方正小标宋简体"/>
          <w:sz w:val="44"/>
          <w:szCs w:val="44"/>
          <w:lang w:eastAsia="zh-CN"/>
        </w:rPr>
        <w:t>林芝市审计局</w:t>
      </w:r>
      <w:r>
        <w:rPr>
          <w:rFonts w:hint="eastAsia" w:ascii="方正小标宋简体" w:eastAsia="方正小标宋简体"/>
          <w:sz w:val="44"/>
          <w:szCs w:val="44"/>
        </w:rPr>
        <w:t>部门整体支出</w:t>
      </w:r>
    </w:p>
    <w:p w14:paraId="5F84575A">
      <w:pPr>
        <w:keepNext w:val="0"/>
        <w:keepLines w:val="0"/>
        <w:pageBreakBefore w:val="0"/>
        <w:kinsoku/>
        <w:wordWrap/>
        <w:overflowPunct/>
        <w:topLinePunct w:val="0"/>
        <w:autoSpaceDN/>
        <w:bidi w:val="0"/>
        <w:spacing w:beforeAutospacing="0" w:afterAutospacing="0" w:line="576" w:lineRule="exact"/>
        <w:ind w:left="0" w:leftChars="0"/>
        <w:jc w:val="center"/>
        <w:textAlignment w:val="auto"/>
        <w:rPr>
          <w:rFonts w:ascii="方正小标宋简体" w:eastAsia="方正小标宋简体"/>
          <w:sz w:val="44"/>
          <w:szCs w:val="44"/>
        </w:rPr>
      </w:pPr>
      <w:r>
        <w:rPr>
          <w:rFonts w:hint="eastAsia" w:ascii="方正小标宋简体" w:eastAsia="方正小标宋简体"/>
          <w:sz w:val="44"/>
          <w:szCs w:val="44"/>
        </w:rPr>
        <w:t>绩效</w:t>
      </w:r>
      <w:bookmarkStart w:id="28" w:name="_GoBack"/>
      <w:bookmarkEnd w:id="28"/>
      <w:r>
        <w:rPr>
          <w:rFonts w:hint="eastAsia" w:ascii="方正小标宋简体" w:eastAsia="方正小标宋简体"/>
          <w:sz w:val="44"/>
          <w:szCs w:val="44"/>
        </w:rPr>
        <w:t>自评报告</w:t>
      </w:r>
    </w:p>
    <w:p w14:paraId="573EC3EB">
      <w:pPr>
        <w:keepNext w:val="0"/>
        <w:keepLines w:val="0"/>
        <w:pageBreakBefore w:val="0"/>
        <w:kinsoku/>
        <w:wordWrap/>
        <w:overflowPunct/>
        <w:topLinePunct w:val="0"/>
        <w:autoSpaceDN/>
        <w:bidi w:val="0"/>
        <w:spacing w:beforeAutospacing="0" w:afterAutospacing="0" w:line="576" w:lineRule="exact"/>
        <w:ind w:left="0" w:leftChars="0"/>
        <w:textAlignment w:val="auto"/>
      </w:pPr>
    </w:p>
    <w:p w14:paraId="50DAE031">
      <w:pPr>
        <w:keepNext w:val="0"/>
        <w:keepLines w:val="0"/>
        <w:pageBreakBefore w:val="0"/>
        <w:kinsoku/>
        <w:wordWrap/>
        <w:overflowPunct/>
        <w:topLinePunct w:val="0"/>
        <w:autoSpaceDN/>
        <w:bidi w:val="0"/>
        <w:spacing w:beforeAutospacing="0" w:afterAutospacing="0" w:line="576" w:lineRule="exact"/>
        <w:ind w:left="0" w:leftChars="0"/>
        <w:textAlignment w:val="auto"/>
      </w:pPr>
    </w:p>
    <w:p w14:paraId="01735371">
      <w:pPr>
        <w:keepNext w:val="0"/>
        <w:keepLines w:val="0"/>
        <w:pageBreakBefore w:val="0"/>
        <w:kinsoku/>
        <w:wordWrap/>
        <w:overflowPunct/>
        <w:topLinePunct w:val="0"/>
        <w:autoSpaceDN/>
        <w:bidi w:val="0"/>
        <w:spacing w:beforeAutospacing="0" w:afterAutospacing="0" w:line="576" w:lineRule="exact"/>
        <w:ind w:left="0" w:leftChars="0"/>
        <w:textAlignment w:val="auto"/>
      </w:pPr>
    </w:p>
    <w:p w14:paraId="0AFD79C3">
      <w:pPr>
        <w:keepNext w:val="0"/>
        <w:keepLines w:val="0"/>
        <w:pageBreakBefore w:val="0"/>
        <w:kinsoku/>
        <w:wordWrap/>
        <w:overflowPunct/>
        <w:topLinePunct w:val="0"/>
        <w:autoSpaceDN/>
        <w:bidi w:val="0"/>
        <w:spacing w:beforeAutospacing="0" w:afterAutospacing="0" w:line="576" w:lineRule="exact"/>
        <w:ind w:left="0" w:leftChars="0"/>
        <w:textAlignment w:val="auto"/>
      </w:pPr>
    </w:p>
    <w:p w14:paraId="689E58AD">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1823" w:firstLineChars="592"/>
        <w:textAlignment w:val="auto"/>
        <w:rPr>
          <w:rFonts w:hint="eastAsia" w:eastAsia="仿宋_GB2312"/>
          <w:lang w:eastAsia="zh-CN"/>
        </w:rPr>
      </w:pPr>
    </w:p>
    <w:p w14:paraId="34A9EC0E">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1823" w:firstLineChars="592"/>
        <w:textAlignment w:val="auto"/>
        <w:rPr>
          <w:rFonts w:hint="eastAsia" w:eastAsia="仿宋_GB2312"/>
          <w:lang w:eastAsia="zh-CN"/>
        </w:rPr>
      </w:pPr>
    </w:p>
    <w:p w14:paraId="07C974C1">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1202" w:firstLineChars="390"/>
        <w:textAlignment w:val="auto"/>
        <w:rPr>
          <w:rFonts w:hint="eastAsia"/>
          <w:lang w:val="en-US" w:eastAsia="zh-CN"/>
        </w:rPr>
      </w:pPr>
      <w:r>
        <w:rPr>
          <w:rFonts w:hint="eastAsia"/>
          <w:b/>
          <w:bCs/>
          <w:lang w:eastAsia="zh-CN"/>
        </w:rPr>
        <w:t>部门名称</w:t>
      </w:r>
      <w:r>
        <w:rPr>
          <w:rFonts w:hint="eastAsia"/>
          <w:b/>
          <w:bCs/>
        </w:rPr>
        <w:t>：</w:t>
      </w:r>
      <w:r>
        <w:rPr>
          <w:rFonts w:hint="eastAsia"/>
          <w:lang w:eastAsia="zh-CN"/>
        </w:rPr>
        <w:t>林芝市审计局</w:t>
      </w:r>
      <w:r>
        <w:rPr>
          <w:rFonts w:hint="eastAsia"/>
          <w:lang w:val="en-US" w:eastAsia="zh-CN"/>
        </w:rPr>
        <w:t xml:space="preserve"> </w:t>
      </w:r>
    </w:p>
    <w:p w14:paraId="7148F0A1">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1232" w:firstLineChars="400"/>
        <w:textAlignment w:val="auto"/>
        <w:rPr>
          <w:rFonts w:hint="default" w:eastAsia="仿宋_GB2312"/>
          <w:lang w:val="en-US" w:eastAsia="zh-CN"/>
        </w:rPr>
      </w:pPr>
      <w:r>
        <w:rPr>
          <w:rFonts w:hint="eastAsia"/>
          <w:b/>
          <w:bCs/>
        </w:rPr>
        <w:t>填报日期：</w:t>
      </w:r>
      <w:r>
        <w:rPr>
          <w:rFonts w:hint="eastAsia"/>
          <w:lang w:val="en-US" w:eastAsia="zh-CN"/>
        </w:rPr>
        <w:t>2025年5月10日</w:t>
      </w:r>
    </w:p>
    <w:p w14:paraId="186294F4">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textAlignment w:val="auto"/>
      </w:pPr>
    </w:p>
    <w:p w14:paraId="4DB25D01">
      <w:pPr>
        <w:keepNext w:val="0"/>
        <w:keepLines w:val="0"/>
        <w:pageBreakBefore w:val="0"/>
        <w:kinsoku/>
        <w:wordWrap/>
        <w:overflowPunct/>
        <w:topLinePunct w:val="0"/>
        <w:autoSpaceDN/>
        <w:bidi w:val="0"/>
        <w:spacing w:beforeAutospacing="0" w:afterAutospacing="0" w:line="576" w:lineRule="exact"/>
        <w:ind w:left="0" w:leftChars="0"/>
        <w:textAlignment w:val="auto"/>
      </w:pPr>
    </w:p>
    <w:p w14:paraId="3D60972D">
      <w:pPr>
        <w:keepNext w:val="0"/>
        <w:keepLines w:val="0"/>
        <w:pageBreakBefore w:val="0"/>
        <w:kinsoku/>
        <w:wordWrap/>
        <w:overflowPunct/>
        <w:topLinePunct w:val="0"/>
        <w:autoSpaceDN/>
        <w:bidi w:val="0"/>
        <w:spacing w:beforeAutospacing="0" w:afterAutospacing="0" w:line="576" w:lineRule="exact"/>
        <w:ind w:left="0" w:leftChars="0"/>
        <w:textAlignment w:val="auto"/>
      </w:pPr>
    </w:p>
    <w:p w14:paraId="6E5893D6">
      <w:pPr>
        <w:keepNext w:val="0"/>
        <w:keepLines w:val="0"/>
        <w:pageBreakBefore w:val="0"/>
        <w:kinsoku/>
        <w:wordWrap/>
        <w:overflowPunct/>
        <w:topLinePunct w:val="0"/>
        <w:autoSpaceDN/>
        <w:bidi w:val="0"/>
        <w:spacing w:beforeAutospacing="0" w:afterAutospacing="0" w:line="576" w:lineRule="exact"/>
        <w:ind w:left="0" w:leftChars="0"/>
        <w:textAlignment w:val="auto"/>
      </w:pPr>
    </w:p>
    <w:p w14:paraId="54EA3B2D">
      <w:pPr>
        <w:keepNext w:val="0"/>
        <w:keepLines w:val="0"/>
        <w:pageBreakBefore w:val="0"/>
        <w:kinsoku/>
        <w:wordWrap/>
        <w:overflowPunct/>
        <w:topLinePunct w:val="0"/>
        <w:autoSpaceDN/>
        <w:bidi w:val="0"/>
        <w:spacing w:beforeAutospacing="0" w:afterAutospacing="0" w:line="576" w:lineRule="exact"/>
        <w:ind w:left="0" w:leftChars="0"/>
        <w:textAlignment w:val="auto"/>
      </w:pPr>
    </w:p>
    <w:p w14:paraId="7C54F5F6">
      <w:pPr>
        <w:keepNext w:val="0"/>
        <w:keepLines w:val="0"/>
        <w:pageBreakBefore w:val="0"/>
        <w:kinsoku/>
        <w:wordWrap/>
        <w:overflowPunct/>
        <w:topLinePunct w:val="0"/>
        <w:autoSpaceDN/>
        <w:bidi w:val="0"/>
        <w:spacing w:beforeAutospacing="0" w:afterAutospacing="0" w:line="576" w:lineRule="exact"/>
        <w:ind w:left="0" w:leftChars="0"/>
        <w:textAlignment w:val="auto"/>
        <w:rPr>
          <w:rFonts w:hint="eastAsia"/>
        </w:rPr>
      </w:pPr>
      <w:r>
        <w:rPr>
          <w:rFonts w:hint="eastAsia"/>
        </w:rPr>
        <w:t xml:space="preserve">                    </w:t>
      </w:r>
    </w:p>
    <w:p w14:paraId="5DC76B81">
      <w:pPr>
        <w:keepNext w:val="0"/>
        <w:keepLines w:val="0"/>
        <w:pageBreakBefore w:val="0"/>
        <w:kinsoku/>
        <w:wordWrap/>
        <w:overflowPunct/>
        <w:topLinePunct w:val="0"/>
        <w:autoSpaceDN/>
        <w:bidi w:val="0"/>
        <w:spacing w:beforeAutospacing="0" w:afterAutospacing="0" w:line="576" w:lineRule="exact"/>
        <w:ind w:left="0" w:leftChars="0"/>
        <w:textAlignment w:val="auto"/>
        <w:rPr>
          <w:rFonts w:hint="eastAsia"/>
        </w:rPr>
      </w:pPr>
    </w:p>
    <w:p w14:paraId="60106F8D">
      <w:pPr>
        <w:keepNext w:val="0"/>
        <w:keepLines w:val="0"/>
        <w:pageBreakBefore w:val="0"/>
        <w:kinsoku/>
        <w:wordWrap/>
        <w:overflowPunct/>
        <w:topLinePunct w:val="0"/>
        <w:autoSpaceDN/>
        <w:bidi w:val="0"/>
        <w:spacing w:beforeAutospacing="0" w:afterAutospacing="0" w:line="576" w:lineRule="exact"/>
        <w:ind w:left="0" w:leftChars="0"/>
        <w:textAlignment w:val="auto"/>
        <w:rPr>
          <w:rFonts w:hint="eastAsia"/>
        </w:rPr>
      </w:pPr>
    </w:p>
    <w:p w14:paraId="0825459D">
      <w:pPr>
        <w:keepNext w:val="0"/>
        <w:keepLines w:val="0"/>
        <w:pageBreakBefore w:val="0"/>
        <w:kinsoku/>
        <w:wordWrap/>
        <w:overflowPunct/>
        <w:topLinePunct w:val="0"/>
        <w:autoSpaceDN/>
        <w:bidi w:val="0"/>
        <w:spacing w:beforeAutospacing="0" w:afterAutospacing="0" w:line="576" w:lineRule="exact"/>
        <w:ind w:left="0" w:leftChars="0"/>
        <w:jc w:val="center"/>
        <w:textAlignment w:val="auto"/>
        <w:rPr>
          <w:b/>
          <w:bCs/>
        </w:rPr>
      </w:pPr>
      <w:r>
        <w:rPr>
          <w:rFonts w:hint="eastAsia"/>
          <w:b/>
          <w:bCs/>
          <w:lang w:val="en-US" w:eastAsia="zh-CN"/>
        </w:rPr>
        <w:t>林芝</w:t>
      </w:r>
      <w:r>
        <w:rPr>
          <w:rFonts w:hint="eastAsia"/>
          <w:b/>
          <w:bCs/>
        </w:rPr>
        <w:t>市财政局制</w:t>
      </w:r>
    </w:p>
    <w:p w14:paraId="2B12F606">
      <w:pPr>
        <w:keepNext w:val="0"/>
        <w:keepLines w:val="0"/>
        <w:pageBreakBefore w:val="0"/>
        <w:kinsoku/>
        <w:wordWrap/>
        <w:overflowPunct/>
        <w:topLinePunct w:val="0"/>
        <w:autoSpaceDN/>
        <w:bidi w:val="0"/>
        <w:spacing w:beforeAutospacing="0" w:afterAutospacing="0" w:line="576" w:lineRule="exact"/>
        <w:ind w:left="0" w:leftChars="0"/>
        <w:textAlignment w:val="auto"/>
        <w:rPr>
          <w:b/>
          <w:bCs/>
        </w:rPr>
      </w:pPr>
      <w:r>
        <w:rPr>
          <w:rFonts w:hint="eastAsia"/>
          <w:b/>
          <w:bCs/>
        </w:rPr>
        <w:t xml:space="preserve">                         202</w:t>
      </w:r>
      <w:r>
        <w:rPr>
          <w:rFonts w:hint="eastAsia"/>
          <w:b/>
          <w:bCs/>
          <w:lang w:val="en-US" w:eastAsia="zh-CN"/>
        </w:rPr>
        <w:t>5</w:t>
      </w:r>
      <w:r>
        <w:rPr>
          <w:rFonts w:hint="eastAsia"/>
          <w:b/>
          <w:bCs/>
        </w:rPr>
        <w:t>年</w:t>
      </w:r>
    </w:p>
    <w:p w14:paraId="75F6FC28">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16" w:firstLineChars="200"/>
        <w:textAlignment w:val="auto"/>
        <w:outlineLvl w:val="9"/>
        <w:rPr>
          <w:rFonts w:hint="eastAsia" w:ascii="方正小标宋简体" w:eastAsia="方正小标宋简体"/>
        </w:rPr>
      </w:pPr>
      <w:bookmarkStart w:id="0" w:name="_Toc28838"/>
      <w:bookmarkStart w:id="1" w:name="_Toc8021_WPSOffice_Level2"/>
    </w:p>
    <w:p w14:paraId="125F0EB9">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16" w:firstLineChars="200"/>
        <w:jc w:val="both"/>
        <w:textAlignment w:val="auto"/>
        <w:outlineLvl w:val="9"/>
        <w:rPr>
          <w:rFonts w:hint="eastAsia" w:ascii="黑体" w:hAnsi="黑体" w:eastAsia="黑体" w:cs="黑体"/>
        </w:rPr>
      </w:pPr>
      <w:r>
        <w:rPr>
          <w:rFonts w:hint="eastAsia" w:ascii="黑体" w:hAnsi="黑体" w:eastAsia="黑体" w:cs="黑体"/>
        </w:rPr>
        <w:t>一、部门基本情况</w:t>
      </w:r>
      <w:bookmarkEnd w:id="0"/>
    </w:p>
    <w:bookmarkEnd w:id="1"/>
    <w:p w14:paraId="061F7528">
      <w:pPr>
        <w:keepNext w:val="0"/>
        <w:keepLines w:val="0"/>
        <w:pageBreakBefore w:val="0"/>
        <w:kinsoku/>
        <w:wordWrap/>
        <w:overflowPunct/>
        <w:topLinePunct w:val="0"/>
        <w:autoSpaceDE w:val="0"/>
        <w:autoSpaceDN/>
        <w:bidi w:val="0"/>
        <w:spacing w:beforeAutospacing="0" w:afterAutospacing="0" w:line="576" w:lineRule="exact"/>
        <w:ind w:left="0" w:leftChars="0" w:firstLine="616" w:firstLineChars="200"/>
        <w:jc w:val="both"/>
        <w:textAlignment w:val="auto"/>
        <w:outlineLvl w:val="1"/>
        <w:rPr>
          <w:rFonts w:hint="eastAsia" w:ascii="楷体_GB2312" w:hAnsi="楷体_GB2312" w:eastAsia="楷体_GB2312" w:cs="楷体_GB2312"/>
          <w:b w:val="0"/>
          <w:bCs w:val="0"/>
          <w:sz w:val="32"/>
          <w:szCs w:val="32"/>
          <w:lang w:bidi="ar"/>
        </w:rPr>
      </w:pPr>
      <w:bookmarkStart w:id="2" w:name="_Toc169620311"/>
      <w:bookmarkStart w:id="3" w:name="_Toc14936_WPSOffice_Level2"/>
      <w:bookmarkStart w:id="4" w:name="_Toc25996"/>
      <w:r>
        <w:rPr>
          <w:rFonts w:hint="eastAsia" w:ascii="楷体_GB2312" w:hAnsi="楷体_GB2312" w:eastAsia="楷体_GB2312" w:cs="楷体_GB2312"/>
          <w:b w:val="0"/>
          <w:bCs w:val="0"/>
          <w:sz w:val="32"/>
          <w:szCs w:val="32"/>
          <w:lang w:bidi="ar"/>
        </w:rPr>
        <w:t>（一）部门主要职能</w:t>
      </w:r>
      <w:bookmarkEnd w:id="2"/>
    </w:p>
    <w:p w14:paraId="56317EEC">
      <w:pPr>
        <w:spacing w:line="576" w:lineRule="exact"/>
        <w:ind w:firstLine="616" w:firstLineChars="200"/>
        <w:rPr>
          <w:rFonts w:hint="eastAsia"/>
        </w:rPr>
      </w:pPr>
      <w:r>
        <w:rPr>
          <w:rFonts w:hint="eastAsia" w:ascii="仿宋_GB2312" w:hAnsi="仿宋_GB2312" w:eastAsia="仿宋_GB2312" w:cs="仿宋_GB2312"/>
          <w:sz w:val="32"/>
          <w:szCs w:val="40"/>
        </w:rPr>
        <w:t>主要职能职责是：（一）主管全市审计工作。负责对市财政收支和法律法规规定属于审计监督范围的财务收支的真实、合法和效益进行审计监督，对公共资金、国有资产、国有资源和领导干部履行经济责任情况实行全覆盖，对领导干部实行自然资源资产离任审计，对国家和自治区、市有关重大政策措施贯彻落实情况进行跟踪审计。对审计、专项审计调查和核查社会审计机构相关审计报告的结果承担责任，并督促被审计单位整改审计查出的问题。（二）制定审计发展规划和工作计划，参与起草财政经济相关地方性法规草案。对直接审计、调查和核查的事项依法进行审计评价，作出审计决定或提出审计建议。（三）向市委审计委员会和自治区审计厅提出年度市本级预算执行和其他财政收支情况的审计报告。向市长提出年度本级预算执行和其他财政收支情况的审计结果报告。受市人民政府委托，向市人大常委会提出市本级预算执行和其他财政收支情况的审计工作报告、审计查出问题整改情况报告。向市委、政府报告对其他事项的审计和专项审计调查情况及结果。依法向社会公布审计结果。向市有关部门、县（区）人民政府通报审计情况和审计结果。（四）直接审计下列事项。出具审计报告，在法定职权范围内作出审计决定，包括国家和自治区、市有关重大政策措施贯彻落实情况；市本级预算执行情况和其他财政收支、市各部门（含所属单位）预算执行情况、决算草案和其他财政收支；县（区）人民政府预算执行情况、决算草案和其他财务收支，财政转移支付资金；使用财政资金的事业单位和社会团体的财务收支；市投资为主的建设项目的预算执行情况和决算，市重大公共项目的资金管理使用和建设运营情况；自然资源管理、污染防治和生态保护与修复情况；市国有企业及国有资本占控股地位或者主导地位的企业和金融机构的资产、负债损益以及财务收支；市驻外非经营性机构和财务收支；有关社会保障基金、社会捐赠资金及其他有关基金、资金的财务收支；法律法规规定的其他事项。（五）按规定对市委组织部管理的党政主要领导干部及其他单位主要负责人实施经济责任审计和自然资源资产离任审计。（六）组织实施对国家财经法律法规、规章、政策和宏观调控措施执行情况，自治区及市重大决策部署贯彻落实情况、财政预算管理及国有资产管理使用等与国家和自治区、市财政收支有关的特定事项进行专项审计调查。（七）依法检查审计决定执行情况，督促整改审计查出问题，依法办理被审计单位对审计决定提请行政复议、行政诉讼或市人民政府裁决中的有关事项。协助配合有关部门查处相关重大案件。（八）指导和监督内部审计工作，核查社会审计机构对依法属于审计监督对象单位出具的相关审计报告。（九）与县（区）委和县（区）人民政府共同领导县（区）审计机关。依法领导和监督县（区）审计机关的审计业务工作。组织县（区）审计机关实施特定项目的专项审计或审计调查，纠正或责成纠正县（区）审计机关违反国家规定作出的审计决定。按照干部管理权限协管县（区）审计机关负责人。（十）组织开展全市审计系统的专业培训、审计领域的交流活动，指导和推广信息技术在审计领域的应用。（十一）承办审计厅组织的审计事项。（十二）完成市委、政府交办的其他任务。（十三）职能转变。市审计局应进一步完善审计管理体制，加强全市审计工作统筹，明晰全市各县（区）审计机关职能定位，理顺内部职责关系，优化审计资源配置，充实加强一线审计力量构建集中统一、全面覆盖、权威高效的审计监督体系。优化审计工作机制，坚持科技强审，完善业务流程，改进工作方式，加强与相关部门的沟通协调，充分调动内部审计和社会审计力量，增强监督合力。</w:t>
      </w:r>
    </w:p>
    <w:p w14:paraId="0EF59376">
      <w:pPr>
        <w:keepNext w:val="0"/>
        <w:keepLines w:val="0"/>
        <w:pageBreakBefore w:val="0"/>
        <w:numPr>
          <w:ilvl w:val="0"/>
          <w:numId w:val="1"/>
        </w:numPr>
        <w:kinsoku/>
        <w:wordWrap/>
        <w:overflowPunct/>
        <w:topLinePunct w:val="0"/>
        <w:autoSpaceDE w:val="0"/>
        <w:autoSpaceDN/>
        <w:bidi w:val="0"/>
        <w:spacing w:beforeAutospacing="0" w:afterAutospacing="0" w:line="576" w:lineRule="exact"/>
        <w:ind w:left="-2" w:leftChars="0" w:firstLine="616" w:firstLineChars="0"/>
        <w:jc w:val="both"/>
        <w:textAlignment w:val="auto"/>
        <w:outlineLvl w:val="1"/>
        <w:rPr>
          <w:rFonts w:hint="eastAsia" w:ascii="楷体_GB2312" w:hAnsi="楷体_GB2312" w:eastAsia="楷体_GB2312" w:cs="楷体_GB2312"/>
          <w:b w:val="0"/>
          <w:bCs w:val="0"/>
          <w:sz w:val="32"/>
          <w:szCs w:val="32"/>
          <w:lang w:bidi="ar"/>
        </w:rPr>
      </w:pPr>
      <w:bookmarkStart w:id="5" w:name="_Toc169620312"/>
      <w:r>
        <w:rPr>
          <w:rFonts w:hint="eastAsia" w:ascii="楷体_GB2312" w:hAnsi="楷体_GB2312" w:eastAsia="楷体_GB2312" w:cs="楷体_GB2312"/>
          <w:b w:val="0"/>
          <w:bCs w:val="0"/>
          <w:sz w:val="32"/>
          <w:szCs w:val="32"/>
          <w:lang w:bidi="ar"/>
        </w:rPr>
        <w:t>机构设置情况</w:t>
      </w:r>
      <w:bookmarkEnd w:id="5"/>
    </w:p>
    <w:p w14:paraId="089D54C7">
      <w:pPr>
        <w:spacing w:line="576" w:lineRule="exact"/>
        <w:ind w:firstLine="616" w:firstLineChars="200"/>
        <w:rPr>
          <w:rFonts w:hint="eastAsia" w:ascii="楷体_GB2312" w:hAnsi="楷体_GB2312" w:eastAsia="楷体_GB2312" w:cs="楷体_GB2312"/>
          <w:b w:val="0"/>
          <w:bCs w:val="0"/>
          <w:sz w:val="32"/>
          <w:szCs w:val="32"/>
          <w:lang w:bidi="ar"/>
        </w:rPr>
      </w:pPr>
      <w:r>
        <w:rPr>
          <w:rFonts w:hint="eastAsia" w:ascii="仿宋" w:hAnsi="仿宋" w:eastAsia="仿宋"/>
          <w:sz w:val="32"/>
          <w:szCs w:val="32"/>
        </w:rPr>
        <w:t>部门（单位）内设</w:t>
      </w:r>
      <w:r>
        <w:rPr>
          <w:rFonts w:hint="eastAsia" w:ascii="仿宋" w:hAnsi="仿宋" w:eastAsia="仿宋"/>
          <w:sz w:val="32"/>
          <w:szCs w:val="32"/>
          <w:u w:val="single"/>
        </w:rPr>
        <w:t xml:space="preserve"> 9 </w:t>
      </w:r>
      <w:r>
        <w:rPr>
          <w:rFonts w:hint="eastAsia" w:ascii="仿宋" w:hAnsi="仿宋" w:eastAsia="仿宋"/>
          <w:sz w:val="32"/>
          <w:szCs w:val="32"/>
        </w:rPr>
        <w:t>个机构、即：</w:t>
      </w:r>
      <w:r>
        <w:rPr>
          <w:rFonts w:hint="eastAsia" w:ascii="仿宋_GB2312" w:hAnsi="仿宋_GB2312" w:eastAsia="仿宋_GB2312" w:cs="仿宋_GB2312"/>
          <w:sz w:val="32"/>
          <w:szCs w:val="40"/>
        </w:rPr>
        <w:t>办公室（政工人事科）、法规科（审理监督科）、行政事业社会保障审计科、财政审计科、电子数据审计科、农业农村与自然资源生态环境审计科、固定资产投资审计科、企业审计科、经济责任审计科。</w:t>
      </w:r>
      <w:r>
        <w:rPr>
          <w:rFonts w:hint="eastAsia" w:ascii="仿宋" w:hAnsi="仿宋" w:eastAsia="仿宋"/>
          <w:sz w:val="32"/>
          <w:szCs w:val="32"/>
        </w:rPr>
        <w:t>无二三级预算单位。</w:t>
      </w:r>
    </w:p>
    <w:p w14:paraId="59D0EA2D">
      <w:pPr>
        <w:keepNext w:val="0"/>
        <w:keepLines w:val="0"/>
        <w:pageBreakBefore w:val="0"/>
        <w:kinsoku/>
        <w:wordWrap/>
        <w:overflowPunct/>
        <w:topLinePunct w:val="0"/>
        <w:autoSpaceDE w:val="0"/>
        <w:autoSpaceDN/>
        <w:bidi w:val="0"/>
        <w:spacing w:beforeAutospacing="0" w:afterAutospacing="0" w:line="576" w:lineRule="exact"/>
        <w:ind w:left="0" w:leftChars="0" w:firstLine="616" w:firstLineChars="200"/>
        <w:jc w:val="both"/>
        <w:textAlignment w:val="auto"/>
        <w:outlineLvl w:val="1"/>
        <w:rPr>
          <w:rFonts w:hint="eastAsia" w:ascii="楷体_GB2312" w:hAnsi="楷体_GB2312" w:eastAsia="楷体_GB2312" w:cs="楷体_GB2312"/>
          <w:b w:val="0"/>
          <w:bCs w:val="0"/>
          <w:sz w:val="32"/>
          <w:szCs w:val="32"/>
          <w:lang w:bidi="ar"/>
        </w:rPr>
      </w:pPr>
      <w:bookmarkStart w:id="6" w:name="_Toc169620313"/>
      <w:r>
        <w:rPr>
          <w:rFonts w:hint="eastAsia" w:ascii="楷体_GB2312" w:hAnsi="楷体_GB2312" w:eastAsia="楷体_GB2312" w:cs="楷体_GB2312"/>
          <w:b w:val="0"/>
          <w:bCs w:val="0"/>
          <w:sz w:val="32"/>
          <w:szCs w:val="32"/>
          <w:lang w:bidi="ar"/>
        </w:rPr>
        <w:t>（三）人员编制情况</w:t>
      </w:r>
      <w:bookmarkEnd w:id="6"/>
    </w:p>
    <w:p w14:paraId="1F34D4C2">
      <w:pPr>
        <w:pStyle w:val="4"/>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Autospacing="0" w:line="576" w:lineRule="exact"/>
        <w:ind w:left="0" w:leftChars="0" w:firstLine="616"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截至202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年12月31日，</w:t>
      </w:r>
      <w:r>
        <w:rPr>
          <w:rFonts w:hint="eastAsia" w:ascii="仿宋_GB2312" w:hAnsi="仿宋_GB2312" w:cs="仿宋_GB2312"/>
          <w:sz w:val="32"/>
          <w:szCs w:val="32"/>
          <w:lang w:eastAsia="zh-CN"/>
        </w:rPr>
        <w:t>林芝市审计局</w:t>
      </w:r>
      <w:r>
        <w:rPr>
          <w:rFonts w:hint="eastAsia" w:ascii="仿宋_GB2312" w:hAnsi="仿宋_GB2312" w:eastAsia="仿宋_GB2312" w:cs="仿宋_GB2312"/>
          <w:sz w:val="32"/>
          <w:szCs w:val="32"/>
          <w:lang w:eastAsia="zh-CN"/>
        </w:rPr>
        <w:t>编制</w:t>
      </w:r>
      <w:r>
        <w:rPr>
          <w:rFonts w:hint="eastAsia" w:ascii="仿宋_GB2312" w:hAnsi="仿宋_GB2312" w:cs="仿宋_GB2312"/>
          <w:sz w:val="32"/>
          <w:szCs w:val="32"/>
          <w:lang w:val="en-US" w:eastAsia="zh-CN"/>
        </w:rPr>
        <w:t>37</w:t>
      </w:r>
      <w:r>
        <w:rPr>
          <w:rFonts w:hint="eastAsia" w:ascii="仿宋_GB2312" w:hAnsi="仿宋_GB2312" w:eastAsia="仿宋_GB2312" w:cs="仿宋_GB2312"/>
          <w:sz w:val="32"/>
          <w:szCs w:val="32"/>
          <w:lang w:eastAsia="zh-CN"/>
        </w:rPr>
        <w:t>人，其中行政编</w:t>
      </w:r>
      <w:r>
        <w:rPr>
          <w:rFonts w:hint="eastAsia" w:ascii="仿宋_GB2312" w:hAnsi="仿宋_GB2312" w:cs="仿宋_GB2312"/>
          <w:sz w:val="32"/>
          <w:szCs w:val="32"/>
          <w:lang w:val="en-US" w:eastAsia="zh-CN"/>
        </w:rPr>
        <w:t>35</w:t>
      </w:r>
      <w:r>
        <w:rPr>
          <w:rFonts w:hint="eastAsia" w:ascii="仿宋_GB2312" w:hAnsi="仿宋_GB2312" w:eastAsia="仿宋_GB2312" w:cs="仿宋_GB2312"/>
          <w:sz w:val="32"/>
          <w:szCs w:val="32"/>
          <w:lang w:eastAsia="zh-CN"/>
        </w:rPr>
        <w:t>人，事业编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人。202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年底实有在职人员</w:t>
      </w:r>
      <w:r>
        <w:rPr>
          <w:rFonts w:hint="eastAsia" w:ascii="仿宋_GB2312" w:hAnsi="仿宋_GB2312" w:cs="仿宋_GB2312"/>
          <w:sz w:val="32"/>
          <w:szCs w:val="32"/>
          <w:lang w:val="en-US" w:eastAsia="zh-CN"/>
        </w:rPr>
        <w:t>35</w:t>
      </w:r>
      <w:r>
        <w:rPr>
          <w:rFonts w:hint="eastAsia" w:ascii="仿宋_GB2312" w:hAnsi="仿宋_GB2312" w:eastAsia="仿宋_GB2312" w:cs="仿宋_GB2312"/>
          <w:sz w:val="32"/>
          <w:szCs w:val="32"/>
          <w:lang w:eastAsia="zh-CN"/>
        </w:rPr>
        <w:t>人。</w:t>
      </w:r>
    </w:p>
    <w:p w14:paraId="7497104A">
      <w:pPr>
        <w:keepNext w:val="0"/>
        <w:keepLines w:val="0"/>
        <w:pageBreakBefore w:val="0"/>
        <w:numPr>
          <w:ilvl w:val="0"/>
          <w:numId w:val="0"/>
        </w:numPr>
        <w:kinsoku/>
        <w:wordWrap/>
        <w:overflowPunct/>
        <w:topLinePunct w:val="0"/>
        <w:autoSpaceDE w:val="0"/>
        <w:autoSpaceDN/>
        <w:bidi w:val="0"/>
        <w:spacing w:beforeAutospacing="0" w:afterAutospacing="0" w:line="576" w:lineRule="exact"/>
        <w:ind w:left="614" w:leftChars="0"/>
        <w:jc w:val="both"/>
        <w:textAlignment w:val="auto"/>
        <w:outlineLvl w:val="1"/>
        <w:rPr>
          <w:rFonts w:hint="eastAsia" w:ascii="楷体_GB2312" w:hAnsi="楷体_GB2312" w:eastAsia="楷体_GB2312" w:cs="楷体_GB2312"/>
          <w:b w:val="0"/>
          <w:bCs w:val="0"/>
          <w:color w:val="000000" w:themeColor="text1"/>
          <w:sz w:val="32"/>
          <w:szCs w:val="32"/>
          <w:lang w:bidi="ar"/>
        </w:rPr>
      </w:pPr>
      <w:bookmarkStart w:id="7" w:name="_Toc169620314"/>
      <w:r>
        <w:rPr>
          <w:rFonts w:hint="eastAsia" w:ascii="楷体_GB2312" w:hAnsi="楷体_GB2312" w:eastAsia="楷体_GB2312" w:cs="楷体_GB2312"/>
          <w:b w:val="0"/>
          <w:bCs w:val="0"/>
          <w:color w:val="000000" w:themeColor="text1"/>
          <w:sz w:val="32"/>
          <w:szCs w:val="32"/>
          <w:lang w:eastAsia="zh-CN" w:bidi="ar"/>
        </w:rPr>
        <w:t>（四）</w:t>
      </w:r>
      <w:r>
        <w:rPr>
          <w:rFonts w:hint="eastAsia" w:ascii="楷体_GB2312" w:hAnsi="楷体_GB2312" w:eastAsia="楷体_GB2312" w:cs="楷体_GB2312"/>
          <w:b w:val="0"/>
          <w:bCs w:val="0"/>
          <w:color w:val="000000" w:themeColor="text1"/>
          <w:sz w:val="32"/>
          <w:szCs w:val="32"/>
          <w:lang w:bidi="ar"/>
        </w:rPr>
        <w:t>年度总体工作和重点工作任务</w:t>
      </w:r>
      <w:bookmarkEnd w:id="3"/>
      <w:bookmarkEnd w:id="4"/>
      <w:bookmarkEnd w:id="7"/>
      <w:bookmarkStart w:id="8" w:name="_Toc28424_WPSOffice_Level2"/>
      <w:bookmarkStart w:id="9" w:name="_Toc8086"/>
    </w:p>
    <w:p w14:paraId="28B2125C">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楷体_GB2312" w:hAnsi="楷体_GB2312" w:eastAsia="楷体_GB2312" w:cs="楷体_GB2312"/>
          <w:sz w:val="32"/>
          <w:szCs w:val="32"/>
          <w:lang w:val="en-US" w:eastAsia="zh-CN"/>
        </w:rPr>
      </w:pPr>
      <w:r>
        <w:rPr>
          <w:rFonts w:hint="default" w:ascii="仿宋_GB2312" w:hAnsi="仿宋_GB2312" w:eastAsia="仿宋_GB2312" w:cs="仿宋_GB2312"/>
          <w:sz w:val="32"/>
          <w:szCs w:val="32"/>
          <w:lang w:val="en" w:eastAsia="zh-CN"/>
        </w:rPr>
        <w:t>紧紧围绕党委政府中心工作，聚焦主责主业，准确把握新时代新征程审计工作的目标要求和重点任务，精心谋划部署，科学制定审计计划</w:t>
      </w:r>
      <w:r>
        <w:rPr>
          <w:rFonts w:hint="eastAsia" w:ascii="仿宋_GB2312" w:hAnsi="仿宋_GB2312" w:eastAsia="仿宋_GB2312" w:cs="仿宋_GB2312"/>
          <w:sz w:val="32"/>
          <w:szCs w:val="32"/>
          <w:lang w:val="en" w:eastAsia="zh-CN"/>
        </w:rPr>
        <w:t>，</w:t>
      </w:r>
      <w:r>
        <w:rPr>
          <w:rFonts w:hint="default" w:ascii="仿宋_GB2312" w:hAnsi="仿宋_GB2312" w:eastAsia="仿宋_GB2312" w:cs="仿宋_GB2312"/>
          <w:sz w:val="32"/>
          <w:szCs w:val="32"/>
          <w:lang w:val="en" w:eastAsia="zh-CN"/>
        </w:rPr>
        <w:t>依法忠实履行职责，进一步提高审计监督的精准性，推动经济运行实现质效提升。</w:t>
      </w:r>
    </w:p>
    <w:p w14:paraId="0F6C1234">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1.贯彻落实十届自治区党委审计委员会第四次会议精神情况</w:t>
      </w:r>
    </w:p>
    <w:p w14:paraId="13F00DBD">
      <w:pPr>
        <w:pStyle w:val="10"/>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十届自治区党委审计委员会第四次会议召开后，林芝市审计局高度重视，迅速行动，第一时间提请市委审计委员会会议传达学习，同时依托党组理论学习中心组组织进行专题学习，认真学习领会习近平总书记关于审计工作的重要论述，深化对中国特色社会主义审计事业发展的规律性认识，把握审计工作的根本遵循、使命定位、独特作用，按照王君正书记的讲话要求，聚焦“四件大事”、聚力“四个创建”，围绕“六个聚焦”，主动担当、善于作为，</w:t>
      </w:r>
      <w:r>
        <w:rPr>
          <w:rFonts w:hint="eastAsia" w:ascii="仿宋_GB2312" w:hAnsi="仿宋_GB2312" w:eastAsia="仿宋_GB2312" w:cs="仿宋_GB2312"/>
          <w:kern w:val="2"/>
          <w:sz w:val="32"/>
          <w:szCs w:val="32"/>
          <w:lang w:val="en" w:eastAsia="zh-CN" w:bidi="ar-SA"/>
        </w:rPr>
        <w:t>扎实做好常态化“经济体检”，全面依法履行审计监督职责，</w:t>
      </w:r>
      <w:r>
        <w:rPr>
          <w:rFonts w:hint="eastAsia" w:ascii="仿宋_GB2312" w:hAnsi="仿宋_GB2312" w:eastAsia="仿宋_GB2312" w:cs="仿宋_GB2312"/>
          <w:sz w:val="32"/>
          <w:lang w:val="en-US" w:eastAsia="zh-CN"/>
        </w:rPr>
        <w:t>为推动林芝高质量发展、促进改革开放先行贡献审计力量</w:t>
      </w:r>
      <w:r>
        <w:rPr>
          <w:rFonts w:hint="eastAsia" w:ascii="仿宋_GB2312" w:hAnsi="仿宋_GB2312" w:eastAsia="仿宋_GB2312" w:cs="仿宋_GB2312"/>
          <w:kern w:val="2"/>
          <w:sz w:val="32"/>
          <w:szCs w:val="32"/>
          <w:lang w:val="en" w:eastAsia="zh-CN" w:bidi="ar-SA"/>
        </w:rPr>
        <w:t>。</w:t>
      </w:r>
    </w:p>
    <w:p w14:paraId="7F608DA7">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2.履行党委审计委员会办公室职责情况</w:t>
      </w:r>
    </w:p>
    <w:p w14:paraId="78DEC732">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sz w:val="32"/>
          <w:szCs w:val="32"/>
          <w:lang w:val="en-US" w:eastAsia="zh-CN"/>
        </w:rPr>
        <w:t xml:space="preserve">   </w:t>
      </w:r>
      <w:r>
        <w:rPr>
          <w:rFonts w:hint="eastAsia" w:ascii="Times New Roman" w:hAnsi="Times New Roman" w:eastAsia="仿宋_GB2312" w:cs="Times New Roman"/>
          <w:color w:val="auto"/>
          <w:kern w:val="2"/>
          <w:sz w:val="32"/>
          <w:szCs w:val="32"/>
          <w:lang w:val="en-US" w:eastAsia="zh-CN" w:bidi="ar-SA"/>
        </w:rPr>
        <w:t xml:space="preserve"> 准确把握审计机关首先是政治机关的定位，坚定捍卫“两个确立”、坚决做到“两个维护”，把党对审计工作的领导、落实党对审计工作的部署要求作为一条主线贯穿审计工作各方面、全过程，认真履行市委审计委员会办公室职责，落实重大事项请示报告制度。2024年提请召开审计委员会会议2次，向自治区审计厅报告重大事项13次，向市委审计委员会报送审计专报7篇，得到领导批示7件。组织实施的阿里地区札达县乡村振兴相关政策落实和资金审计项目，审计报告揭示问题得到中央和自治区主要领导批示，并受到自治区审计厅通报表扬。</w:t>
      </w:r>
    </w:p>
    <w:p w14:paraId="7FEFBA02">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3.开展审计业务情况</w:t>
      </w:r>
    </w:p>
    <w:p w14:paraId="50C04A69">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sz w:val="32"/>
          <w:szCs w:val="32"/>
          <w:lang w:val="en-US" w:eastAsia="zh-CN"/>
        </w:rPr>
        <w:t xml:space="preserve">    一是依法实施审计项目。</w:t>
      </w:r>
      <w:r>
        <w:rPr>
          <w:rFonts w:hint="eastAsia" w:ascii="Times New Roman" w:hAnsi="Times New Roman" w:eastAsia="仿宋_GB2312" w:cs="Times New Roman"/>
          <w:color w:val="auto"/>
          <w:kern w:val="2"/>
          <w:sz w:val="32"/>
          <w:szCs w:val="32"/>
          <w:lang w:val="en-US" w:eastAsia="zh-CN" w:bidi="ar-SA"/>
        </w:rPr>
        <w:t>2024年市审计局开展</w:t>
      </w:r>
      <w:r>
        <w:rPr>
          <w:rFonts w:hint="eastAsia" w:ascii="Times New Roman" w:hAnsi="Times New Roman" w:eastAsia="仿宋_GB2312" w:cs="Times New Roman"/>
          <w:color w:val="auto"/>
          <w:kern w:val="2"/>
          <w:sz w:val="32"/>
          <w:szCs w:val="32"/>
          <w:lang w:val="en" w:eastAsia="zh-CN" w:bidi="ar-SA"/>
        </w:rPr>
        <w:t>政策跟踪审计、财政财务审计、企业审计、经济责任审计、自然资源资产审计及专项审计调查等项目</w:t>
      </w:r>
      <w:r>
        <w:rPr>
          <w:rFonts w:hint="eastAsia" w:ascii="Times New Roman" w:hAnsi="Times New Roman" w:eastAsia="仿宋_GB2312" w:cs="Times New Roman"/>
          <w:color w:val="auto"/>
          <w:kern w:val="2"/>
          <w:sz w:val="32"/>
          <w:szCs w:val="32"/>
          <w:lang w:val="en-US" w:eastAsia="zh-CN" w:bidi="ar-SA"/>
        </w:rPr>
        <w:t>7</w:t>
      </w:r>
      <w:r>
        <w:rPr>
          <w:rFonts w:hint="eastAsia" w:ascii="Times New Roman" w:hAnsi="Times New Roman" w:eastAsia="仿宋_GB2312" w:cs="Times New Roman"/>
          <w:color w:val="auto"/>
          <w:kern w:val="2"/>
          <w:sz w:val="32"/>
          <w:szCs w:val="32"/>
          <w:lang w:val="en" w:eastAsia="zh-CN" w:bidi="ar-SA"/>
        </w:rPr>
        <w:t>类</w:t>
      </w:r>
      <w:r>
        <w:rPr>
          <w:rFonts w:hint="eastAsia" w:ascii="Times New Roman" w:hAnsi="Times New Roman" w:eastAsia="仿宋_GB2312" w:cs="Times New Roman"/>
          <w:color w:val="auto"/>
          <w:kern w:val="2"/>
          <w:sz w:val="32"/>
          <w:szCs w:val="32"/>
          <w:lang w:val="en-US" w:eastAsia="zh-CN" w:bidi="ar-SA"/>
        </w:rPr>
        <w:t>16</w:t>
      </w:r>
      <w:r>
        <w:rPr>
          <w:rFonts w:hint="eastAsia" w:ascii="Times New Roman" w:hAnsi="Times New Roman" w:eastAsia="仿宋_GB2312" w:cs="Times New Roman"/>
          <w:color w:val="auto"/>
          <w:kern w:val="2"/>
          <w:sz w:val="32"/>
          <w:szCs w:val="32"/>
          <w:lang w:val="en" w:eastAsia="zh-CN" w:bidi="ar-SA"/>
        </w:rPr>
        <w:t>个（不含审计署统一组织实施审计项目），均已完成审计工作</w:t>
      </w:r>
      <w:r>
        <w:rPr>
          <w:rFonts w:hint="eastAsia"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 w:eastAsia="zh-CN" w:bidi="ar-SA"/>
        </w:rPr>
        <w:t>查出各类违纪违规资金</w:t>
      </w:r>
      <w:r>
        <w:rPr>
          <w:rFonts w:hint="default" w:ascii="Times New Roman" w:hAnsi="Times New Roman" w:eastAsia="仿宋_GB2312" w:cs="Times New Roman"/>
          <w:color w:val="auto"/>
          <w:kern w:val="2"/>
          <w:sz w:val="32"/>
          <w:szCs w:val="32"/>
          <w:lang w:val="en" w:eastAsia="zh-CN" w:bidi="ar-SA"/>
        </w:rPr>
        <w:t>342397.09</w:t>
      </w:r>
      <w:r>
        <w:rPr>
          <w:rFonts w:hint="eastAsia" w:ascii="Times New Roman" w:hAnsi="Times New Roman" w:eastAsia="仿宋_GB2312" w:cs="Times New Roman"/>
          <w:color w:val="auto"/>
          <w:kern w:val="2"/>
          <w:sz w:val="32"/>
          <w:szCs w:val="32"/>
          <w:lang w:val="en-US" w:eastAsia="zh-CN" w:bidi="ar-SA"/>
        </w:rPr>
        <w:t>万元</w:t>
      </w:r>
      <w:r>
        <w:rPr>
          <w:rFonts w:hint="eastAsia" w:ascii="Times New Roman" w:hAnsi="Times New Roman" w:eastAsia="仿宋_GB2312" w:cs="Times New Roman"/>
          <w:color w:val="auto"/>
          <w:kern w:val="2"/>
          <w:sz w:val="32"/>
          <w:szCs w:val="32"/>
          <w:lang w:val="en" w:eastAsia="zh-CN" w:bidi="ar-SA"/>
        </w:rPr>
        <w:t>，处理处罚资金</w:t>
      </w:r>
      <w:r>
        <w:rPr>
          <w:rFonts w:hint="eastAsia" w:ascii="Times New Roman" w:hAnsi="Times New Roman" w:eastAsia="仿宋_GB2312" w:cs="Times New Roman"/>
          <w:color w:val="auto"/>
          <w:kern w:val="2"/>
          <w:sz w:val="32"/>
          <w:szCs w:val="32"/>
          <w:lang w:val="en-US" w:eastAsia="zh-CN" w:bidi="ar-SA"/>
        </w:rPr>
        <w:t>1065.93万元</w:t>
      </w:r>
      <w:r>
        <w:rPr>
          <w:rFonts w:hint="eastAsia" w:ascii="Times New Roman" w:hAnsi="Times New Roman" w:eastAsia="仿宋_GB2312" w:cs="Times New Roman"/>
          <w:color w:val="auto"/>
          <w:kern w:val="2"/>
          <w:sz w:val="32"/>
          <w:szCs w:val="32"/>
          <w:lang w:val="en" w:eastAsia="zh-CN" w:bidi="ar-SA"/>
        </w:rPr>
        <w:t>，查出问题</w:t>
      </w:r>
      <w:r>
        <w:rPr>
          <w:rFonts w:hint="default" w:ascii="Times New Roman" w:hAnsi="Times New Roman" w:eastAsia="仿宋_GB2312" w:cs="Times New Roman"/>
          <w:color w:val="auto"/>
          <w:kern w:val="2"/>
          <w:sz w:val="32"/>
          <w:szCs w:val="32"/>
          <w:lang w:val="en" w:eastAsia="zh-CN" w:bidi="ar-SA"/>
        </w:rPr>
        <w:t>304</w:t>
      </w:r>
      <w:r>
        <w:rPr>
          <w:rFonts w:hint="eastAsia" w:ascii="Times New Roman" w:hAnsi="Times New Roman" w:eastAsia="仿宋_GB2312" w:cs="Times New Roman"/>
          <w:color w:val="auto"/>
          <w:kern w:val="2"/>
          <w:sz w:val="32"/>
          <w:szCs w:val="32"/>
          <w:lang w:val="en-US" w:eastAsia="zh-CN" w:bidi="ar-SA"/>
        </w:rPr>
        <w:t>个</w:t>
      </w:r>
      <w:r>
        <w:rPr>
          <w:rFonts w:hint="eastAsia" w:ascii="Times New Roman" w:hAnsi="Times New Roman" w:eastAsia="仿宋_GB2312" w:cs="Times New Roman"/>
          <w:color w:val="auto"/>
          <w:kern w:val="2"/>
          <w:sz w:val="32"/>
          <w:szCs w:val="32"/>
          <w:lang w:val="en" w:eastAsia="zh-CN" w:bidi="ar-SA"/>
        </w:rPr>
        <w:t>，提出审计意见和建议</w:t>
      </w:r>
      <w:r>
        <w:rPr>
          <w:rFonts w:hint="eastAsia" w:ascii="Times New Roman" w:hAnsi="Times New Roman" w:eastAsia="仿宋_GB2312" w:cs="Times New Roman"/>
          <w:color w:val="auto"/>
          <w:kern w:val="2"/>
          <w:sz w:val="32"/>
          <w:szCs w:val="32"/>
          <w:lang w:val="en-US" w:eastAsia="zh-CN" w:bidi="ar-SA"/>
        </w:rPr>
        <w:t>5</w:t>
      </w:r>
      <w:r>
        <w:rPr>
          <w:rFonts w:hint="default" w:ascii="Times New Roman" w:hAnsi="Times New Roman" w:eastAsia="仿宋_GB2312" w:cs="Times New Roman"/>
          <w:color w:val="auto"/>
          <w:kern w:val="2"/>
          <w:sz w:val="32"/>
          <w:szCs w:val="32"/>
          <w:lang w:val="en" w:eastAsia="zh-CN" w:bidi="ar-SA"/>
        </w:rPr>
        <w:t>4</w:t>
      </w:r>
      <w:r>
        <w:rPr>
          <w:rFonts w:hint="eastAsia" w:ascii="Times New Roman" w:hAnsi="Times New Roman" w:eastAsia="仿宋_GB2312" w:cs="Times New Roman"/>
          <w:color w:val="auto"/>
          <w:kern w:val="2"/>
          <w:sz w:val="32"/>
          <w:szCs w:val="32"/>
          <w:lang w:val="en" w:eastAsia="zh-CN" w:bidi="ar-SA"/>
        </w:rPr>
        <w:t>条，出具移送处理书</w:t>
      </w:r>
      <w:r>
        <w:rPr>
          <w:rFonts w:hint="eastAsia" w:ascii="Times New Roman" w:hAnsi="Times New Roman" w:eastAsia="仿宋_GB2312" w:cs="Times New Roman"/>
          <w:color w:val="auto"/>
          <w:kern w:val="2"/>
          <w:sz w:val="32"/>
          <w:szCs w:val="32"/>
          <w:lang w:val="en-US" w:eastAsia="zh-CN" w:bidi="ar-SA"/>
        </w:rPr>
        <w:t>15份，以强有力的审计监督确保各项决策部署不折不扣落实落地。</w:t>
      </w:r>
    </w:p>
    <w:p w14:paraId="2459AC01">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 w:eastAsia="zh-CN" w:bidi="ar-SA"/>
        </w:rPr>
        <w:t>二是推进审计质量提升。</w:t>
      </w:r>
      <w:r>
        <w:rPr>
          <w:rFonts w:hint="eastAsia" w:ascii="仿宋_GB2312" w:hAnsi="仿宋_GB2312" w:eastAsia="仿宋_GB2312" w:cs="仿宋_GB2312"/>
          <w:sz w:val="32"/>
          <w:szCs w:val="32"/>
          <w:lang w:val="en-US" w:eastAsia="zh-CN"/>
        </w:rPr>
        <w:t>强化审</w:t>
      </w:r>
      <w:r>
        <w:rPr>
          <w:rFonts w:hint="eastAsia" w:ascii="Times New Roman" w:hAnsi="Times New Roman" w:eastAsia="仿宋_GB2312" w:cs="Times New Roman"/>
          <w:color w:val="auto"/>
          <w:kern w:val="2"/>
          <w:sz w:val="32"/>
          <w:szCs w:val="32"/>
          <w:lang w:val="en-US" w:eastAsia="zh-CN" w:bidi="ar-SA"/>
        </w:rPr>
        <w:t>计质量“生命线”意识，实施</w:t>
      </w:r>
      <w:r>
        <w:rPr>
          <w:rFonts w:hint="eastAsia" w:ascii="Times New Roman" w:hAnsi="Times New Roman" w:eastAsia="仿宋_GB2312" w:cs="Times New Roman"/>
          <w:color w:val="auto"/>
          <w:kern w:val="2"/>
          <w:sz w:val="32"/>
          <w:szCs w:val="32"/>
          <w:lang w:val="en" w:eastAsia="zh-CN" w:bidi="ar-SA"/>
        </w:rPr>
        <w:t>审计质量提升三年行动，</w:t>
      </w:r>
      <w:r>
        <w:rPr>
          <w:rFonts w:hint="eastAsia" w:ascii="Times New Roman" w:hAnsi="Times New Roman" w:eastAsia="仿宋_GB2312" w:cs="Times New Roman"/>
          <w:color w:val="auto"/>
          <w:kern w:val="2"/>
          <w:sz w:val="32"/>
          <w:szCs w:val="32"/>
          <w:lang w:val="en-US" w:eastAsia="zh-CN" w:bidi="ar-SA"/>
        </w:rPr>
        <w:t>科学制定项目计划，狠抓现场管理，紧盯审计文书质量，</w:t>
      </w:r>
      <w:r>
        <w:rPr>
          <w:rFonts w:hint="eastAsia" w:ascii="仿宋_GB2312" w:hAnsi="仿宋_GB2312" w:eastAsia="仿宋_GB2312" w:cs="仿宋_GB2312"/>
          <w:sz w:val="32"/>
        </w:rPr>
        <w:t>全面</w:t>
      </w:r>
      <w:r>
        <w:rPr>
          <w:rFonts w:hint="eastAsia" w:ascii="仿宋_GB2312" w:hAnsi="仿宋_GB2312" w:eastAsia="仿宋_GB2312" w:cs="仿宋_GB2312"/>
          <w:sz w:val="32"/>
          <w:lang w:eastAsia="zh-CN"/>
        </w:rPr>
        <w:t>提</w:t>
      </w:r>
      <w:r>
        <w:rPr>
          <w:rFonts w:hint="default" w:ascii="仿宋_GB2312" w:hAnsi="仿宋_GB2312" w:eastAsia="仿宋_GB2312" w:cs="仿宋_GB2312"/>
          <w:sz w:val="32"/>
          <w:lang w:val="en" w:eastAsia="zh-CN"/>
        </w:rPr>
        <w:t>升</w:t>
      </w:r>
      <w:r>
        <w:rPr>
          <w:rFonts w:hint="eastAsia" w:ascii="仿宋_GB2312" w:hAnsi="仿宋_GB2312" w:eastAsia="仿宋_GB2312" w:cs="仿宋_GB2312"/>
          <w:sz w:val="32"/>
        </w:rPr>
        <w:t>审计质量，</w:t>
      </w:r>
      <w:r>
        <w:rPr>
          <w:rFonts w:hint="eastAsia" w:ascii="仿宋_GB2312" w:hAnsi="仿宋_GB2312" w:eastAsia="仿宋_GB2312" w:cs="仿宋_GB2312"/>
          <w:sz w:val="32"/>
          <w:lang w:eastAsia="zh-CN"/>
        </w:rPr>
        <w:t>构建集中统一、全面覆盖、权威高效的审计监督体系。</w:t>
      </w:r>
      <w:r>
        <w:rPr>
          <w:rFonts w:hint="eastAsia" w:ascii="Times New Roman" w:hAnsi="Times New Roman" w:eastAsia="仿宋_GB2312" w:cs="Times New Roman"/>
          <w:color w:val="auto"/>
          <w:kern w:val="2"/>
          <w:sz w:val="32"/>
          <w:szCs w:val="32"/>
          <w:lang w:val="en-US" w:eastAsia="zh-CN" w:bidi="ar-SA"/>
        </w:rPr>
        <w:t>开展审计整改“回头看”专项行动，审计系统组织实施的审计项目获得全区审计机关优秀审计项目“一</w:t>
      </w:r>
      <w:r>
        <w:rPr>
          <w:rFonts w:hint="eastAsia" w:ascii="Nimbus Roman No9 L" w:hAnsi="Nimbus Roman No9 L" w:eastAsia="仿宋_GB2312" w:cs="Nimbus Roman No9 L"/>
          <w:sz w:val="32"/>
          <w:szCs w:val="32"/>
          <w:lang w:val="en-US" w:eastAsia="zh-CN"/>
        </w:rPr>
        <w:t>等奖”</w:t>
      </w:r>
      <w:r>
        <w:rPr>
          <w:rFonts w:hint="eastAsia" w:ascii="Times New Roman" w:hAnsi="Times New Roman" w:eastAsia="仿宋_GB2312" w:cs="Times New Roman"/>
          <w:color w:val="auto"/>
          <w:kern w:val="2"/>
          <w:sz w:val="32"/>
          <w:szCs w:val="32"/>
          <w:lang w:val="en-US" w:eastAsia="zh-CN" w:bidi="ar-SA"/>
        </w:rPr>
        <w:t>1</w:t>
      </w:r>
      <w:r>
        <w:rPr>
          <w:rFonts w:hint="eastAsia" w:ascii="Nimbus Roman No9 L" w:hAnsi="Nimbus Roman No9 L" w:eastAsia="仿宋_GB2312" w:cs="Nimbus Roman No9 L"/>
          <w:sz w:val="32"/>
          <w:szCs w:val="32"/>
          <w:lang w:val="en-US" w:eastAsia="zh-CN"/>
        </w:rPr>
        <w:t>个、“二等奖”</w:t>
      </w:r>
      <w:r>
        <w:rPr>
          <w:rFonts w:hint="eastAsia" w:ascii="Times New Roman" w:hAnsi="Times New Roman" w:eastAsia="仿宋_GB2312" w:cs="Times New Roman"/>
          <w:color w:val="auto"/>
          <w:kern w:val="2"/>
          <w:sz w:val="32"/>
          <w:szCs w:val="32"/>
          <w:lang w:val="en-US" w:eastAsia="zh-CN" w:bidi="ar-SA"/>
        </w:rPr>
        <w:t>1</w:t>
      </w:r>
      <w:r>
        <w:rPr>
          <w:rFonts w:hint="eastAsia" w:ascii="Nimbus Roman No9 L" w:hAnsi="Nimbus Roman No9 L" w:eastAsia="仿宋_GB2312" w:cs="Nimbus Roman No9 L"/>
          <w:sz w:val="32"/>
          <w:szCs w:val="32"/>
          <w:lang w:val="en-US" w:eastAsia="zh-CN"/>
        </w:rPr>
        <w:t>个</w:t>
      </w:r>
      <w:r>
        <w:rPr>
          <w:rFonts w:hint="eastAsia" w:ascii="Times New Roman" w:hAnsi="Times New Roman" w:eastAsia="仿宋_GB2312" w:cs="Times New Roman"/>
          <w:color w:val="auto"/>
          <w:kern w:val="2"/>
          <w:sz w:val="32"/>
          <w:szCs w:val="32"/>
          <w:lang w:val="en-US" w:eastAsia="zh-CN" w:bidi="ar-SA"/>
        </w:rPr>
        <w:t>，助推审计工作高质量发展。</w:t>
      </w:r>
    </w:p>
    <w:p w14:paraId="73FA5881">
      <w:pPr>
        <w:keepNext w:val="0"/>
        <w:keepLines w:val="0"/>
        <w:pageBreakBefore w:val="0"/>
        <w:widowControl w:val="0"/>
        <w:kinsoku/>
        <w:wordWrap/>
        <w:overflowPunct/>
        <w:topLinePunct w:val="0"/>
        <w:autoSpaceDE/>
        <w:autoSpaceDN/>
        <w:bidi w:val="0"/>
        <w:adjustRightInd/>
        <w:snapToGrid/>
        <w:spacing w:line="576" w:lineRule="exact"/>
        <w:ind w:firstLine="616"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三是探索创新审计模式。</w:t>
      </w:r>
      <w:r>
        <w:rPr>
          <w:rFonts w:hint="eastAsia" w:ascii="Times New Roman" w:hAnsi="Times New Roman" w:eastAsia="仿宋_GB2312" w:cs="Times New Roman"/>
          <w:color w:val="auto"/>
          <w:kern w:val="2"/>
          <w:sz w:val="32"/>
          <w:szCs w:val="32"/>
          <w:lang w:val="en-US" w:eastAsia="zh-CN" w:bidi="ar-SA"/>
        </w:rPr>
        <w:t>全面实施市县财政“一盘棋”联动审计，创新“现场审计+财政数据分析+各审计组上下联动+资源共享”的新审计模式。积极探索巡视巡察政治监督和审计经济监督作用融合发展的新工作机制，实施林芝广播电视台主要领导干部经济责任审计，配合开展“一老一小”巡审联动工作，同步推进“政治监督”和“经济体检”，提升监督质效。</w:t>
      </w:r>
    </w:p>
    <w:p w14:paraId="58322D15">
      <w:pPr>
        <w:pStyle w:val="12"/>
        <w:keepNext w:val="0"/>
        <w:keepLines w:val="0"/>
        <w:pageBreakBefore w:val="0"/>
        <w:widowControl w:val="0"/>
        <w:kinsoku/>
        <w:wordWrap/>
        <w:overflowPunct/>
        <w:topLinePunct w:val="0"/>
        <w:autoSpaceDE/>
        <w:autoSpaceDN/>
        <w:bidi w:val="0"/>
        <w:spacing w:line="576" w:lineRule="exact"/>
        <w:textAlignment w:val="auto"/>
        <w:rPr>
          <w:rFonts w:hint="eastAsia"/>
          <w:lang w:val="en-US" w:eastAsia="zh-CN"/>
        </w:rPr>
      </w:pPr>
      <w:r>
        <w:rPr>
          <w:rFonts w:hint="eastAsia" w:eastAsia="仿宋_GB2312" w:cs="Times New Roman"/>
          <w:color w:val="auto"/>
          <w:kern w:val="2"/>
          <w:sz w:val="32"/>
          <w:szCs w:val="32"/>
          <w:lang w:val="en-US" w:eastAsia="zh-CN" w:bidi="ar-SA"/>
        </w:rPr>
        <w:t xml:space="preserve">    </w:t>
      </w:r>
      <w:r>
        <w:rPr>
          <w:rFonts w:hint="eastAsia" w:eastAsia="仿宋_GB2312" w:cs="Times New Roman"/>
          <w:b/>
          <w:bCs/>
          <w:color w:val="auto"/>
          <w:kern w:val="2"/>
          <w:sz w:val="32"/>
          <w:szCs w:val="32"/>
          <w:lang w:val="en-US" w:eastAsia="zh-CN" w:bidi="ar-SA"/>
        </w:rPr>
        <w:t>四是前移审计监督关口。</w:t>
      </w:r>
      <w:r>
        <w:rPr>
          <w:rFonts w:hint="eastAsia" w:ascii="Nimbus Roman No9 L" w:hAnsi="Nimbus Roman No9 L" w:eastAsia="仿宋_GB2312" w:cs="Nimbus Roman No9 L"/>
          <w:color w:val="000000"/>
          <w:kern w:val="2"/>
          <w:sz w:val="32"/>
          <w:szCs w:val="32"/>
          <w:lang w:val="en-US" w:eastAsia="zh-CN" w:bidi="ar-SA"/>
        </w:rPr>
        <w:t>整理编辑了财政财务收支及预决算执行审计、党政主要领导经济责任审计、自然资源资产（离任）审计、国有企业方面的审计、政府性固定资产投资审计等9个方面67个案例，</w:t>
      </w:r>
      <w:r>
        <w:rPr>
          <w:rFonts w:hint="eastAsia" w:ascii="仿宋_GB2312" w:hAnsi="仿宋_GB2312" w:eastAsia="仿宋_GB2312" w:cs="仿宋_GB2312"/>
          <w:color w:val="auto"/>
          <w:sz w:val="32"/>
          <w:szCs w:val="32"/>
          <w:lang w:val="en-US" w:eastAsia="zh-CN"/>
        </w:rPr>
        <w:t>出版《</w:t>
      </w:r>
      <w:r>
        <w:rPr>
          <w:rFonts w:hint="eastAsia" w:ascii="仿宋_GB2312" w:hAnsi="仿宋_GB2312" w:eastAsia="仿宋_GB2312" w:cs="仿宋_GB2312"/>
          <w:i w:val="0"/>
          <w:caps w:val="0"/>
          <w:color w:val="auto"/>
          <w:spacing w:val="4"/>
          <w:sz w:val="32"/>
          <w:szCs w:val="32"/>
          <w:shd w:val="clear" w:color="auto" w:fill="FFFFFF"/>
          <w:lang w:val="en-US" w:eastAsia="zh-CN"/>
        </w:rPr>
        <w:t>审</w:t>
      </w:r>
      <w:r>
        <w:rPr>
          <w:rFonts w:hint="eastAsia" w:ascii="Nimbus Roman No9 L" w:hAnsi="Nimbus Roman No9 L" w:eastAsia="仿宋_GB2312" w:cs="Nimbus Roman No9 L"/>
          <w:color w:val="000000"/>
          <w:kern w:val="2"/>
          <w:sz w:val="32"/>
          <w:szCs w:val="32"/>
          <w:lang w:val="en-US" w:eastAsia="zh-CN" w:bidi="ar-SA"/>
        </w:rPr>
        <w:t>计说“是”》，向全市99家预算单位和市县乡三级领导印发，切实以身边事教育身边人。</w:t>
      </w:r>
    </w:p>
    <w:p w14:paraId="481BB1D2">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4.做好审计整改“下半篇文章”情况</w:t>
      </w:r>
    </w:p>
    <w:p w14:paraId="034FE67D">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Nimbus Roman No9 L" w:hAnsi="Nimbus Roman No9 L" w:eastAsia="仿宋_GB2312" w:cs="Nimbus Roman No9 L"/>
          <w:b/>
          <w:bCs/>
          <w:sz w:val="32"/>
          <w:szCs w:val="32"/>
          <w:lang w:val="en-US" w:eastAsia="zh-CN"/>
        </w:rPr>
        <w:t xml:space="preserve">    一是</w:t>
      </w:r>
      <w:r>
        <w:rPr>
          <w:rFonts w:hint="eastAsia" w:ascii="仿宋_GB2312" w:hAnsi="仿宋_GB2312" w:eastAsia="仿宋_GB2312" w:cs="仿宋_GB2312"/>
          <w:sz w:val="32"/>
          <w:szCs w:val="32"/>
          <w:lang w:val="en-US" w:eastAsia="zh-CN"/>
        </w:rPr>
        <w:t>推行“</w:t>
      </w:r>
      <w:r>
        <w:rPr>
          <w:rFonts w:hint="eastAsia" w:ascii="Times New Roman" w:hAnsi="Times New Roman" w:eastAsia="仿宋_GB2312" w:cs="Times New Roman"/>
          <w:color w:val="auto"/>
          <w:kern w:val="2"/>
          <w:sz w:val="32"/>
          <w:szCs w:val="32"/>
          <w:lang w:val="en-US" w:eastAsia="zh-CN" w:bidi="ar-SA"/>
        </w:rPr>
        <w:t>三步走工作法”，即1项制度（《林芝市审计局关于审计查出问题整改督促检查责任实施办法》）、2项措施（召开审计整改专题会、主动上门回访审计整改情况）、3个结合（坚持边审边改和审后整改相结合、立行立改和建章立制相结合、审计监督与其他监督相结合），扎实做好审计整改工作。</w:t>
      </w:r>
    </w:p>
    <w:p w14:paraId="592A098E">
      <w:pPr>
        <w:keepNext w:val="0"/>
        <w:keepLines w:val="0"/>
        <w:pageBreakBefore w:val="0"/>
        <w:widowControl w:val="0"/>
        <w:numPr>
          <w:ilvl w:val="0"/>
          <w:numId w:val="0"/>
        </w:numPr>
        <w:kinsoku/>
        <w:wordWrap/>
        <w:overflowPunct/>
        <w:topLinePunct w:val="0"/>
        <w:autoSpaceDE/>
        <w:autoSpaceDN/>
        <w:bidi w:val="0"/>
        <w:adjustRightInd/>
        <w:spacing w:line="576" w:lineRule="exact"/>
        <w:ind w:firstLine="616" w:firstLineChars="200"/>
        <w:textAlignment w:val="auto"/>
        <w:rPr>
          <w:rFonts w:hint="default" w:ascii="Nimbus Roman No9 L" w:hAnsi="Nimbus Roman No9 L" w:eastAsia="仿宋_GB2312" w:cs="Nimbus Roman No9 L"/>
          <w:sz w:val="32"/>
          <w:szCs w:val="32"/>
          <w:lang w:val="en-US" w:eastAsia="zh-CN"/>
        </w:rPr>
      </w:pPr>
      <w:r>
        <w:rPr>
          <w:rFonts w:hint="eastAsia" w:ascii="Nimbus Roman No9 L" w:hAnsi="Nimbus Roman No9 L" w:eastAsia="仿宋_GB2312" w:cs="Nimbus Roman No9 L"/>
          <w:b/>
          <w:bCs/>
          <w:sz w:val="32"/>
          <w:szCs w:val="32"/>
          <w:lang w:val="en-US" w:eastAsia="zh-CN"/>
        </w:rPr>
        <w:t>二是</w:t>
      </w:r>
      <w:r>
        <w:rPr>
          <w:rFonts w:hint="eastAsia" w:ascii="仿宋_GB2312" w:hAnsi="仿宋_GB2312" w:eastAsia="仿宋_GB2312" w:cs="仿宋_GB2312"/>
          <w:color w:val="auto"/>
          <w:sz w:val="32"/>
          <w:szCs w:val="32"/>
          <w:lang w:val="en-US" w:eastAsia="zh-CN"/>
        </w:rPr>
        <w:t>创新审计整改方式，在审计报告中，对揭示问题与被审计单位沟通研判，及时明确哪些问题是立行立改、哪些问题是分阶段整改、哪些问题是持续整改，有效避免问题整改后移，</w:t>
      </w:r>
      <w:r>
        <w:rPr>
          <w:rFonts w:hint="eastAsia" w:ascii="仿宋_GB2312" w:hAnsi="仿宋_GB2312" w:eastAsia="仿宋_GB2312" w:cs="仿宋_GB2312"/>
          <w:sz w:val="32"/>
          <w:szCs w:val="32"/>
          <w:lang w:val="en-US" w:eastAsia="zh-CN"/>
        </w:rPr>
        <w:t>一体推进揭示问题、规范管理、促进改革。</w:t>
      </w:r>
    </w:p>
    <w:p w14:paraId="1614F5F2">
      <w:pPr>
        <w:pStyle w:val="12"/>
        <w:keepNext w:val="0"/>
        <w:keepLines w:val="0"/>
        <w:pageBreakBefore w:val="0"/>
        <w:widowControl w:val="0"/>
        <w:kinsoku/>
        <w:wordWrap/>
        <w:overflowPunct/>
        <w:topLinePunct w:val="0"/>
        <w:autoSpaceDE/>
        <w:autoSpaceDN/>
        <w:bidi w:val="0"/>
        <w:spacing w:line="576" w:lineRule="exact"/>
        <w:ind w:firstLine="642"/>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Nimbus Roman No9 L" w:hAnsi="Nimbus Roman No9 L" w:eastAsia="仿宋_GB2312" w:cs="Nimbus Roman No9 L"/>
          <w:b/>
          <w:bCs/>
          <w:sz w:val="32"/>
          <w:szCs w:val="32"/>
          <w:lang w:val="en-US" w:eastAsia="zh-CN"/>
        </w:rPr>
        <w:t>三是</w:t>
      </w:r>
      <w:r>
        <w:rPr>
          <w:rFonts w:hint="eastAsia" w:ascii="Nimbus Roman No9 L" w:hAnsi="Nimbus Roman No9 L" w:eastAsia="仿宋_GB2312" w:cs="Nimbus Roman No9 L"/>
          <w:sz w:val="32"/>
          <w:szCs w:val="32"/>
          <w:lang w:val="en-US" w:eastAsia="zh-CN"/>
        </w:rPr>
        <w:t>有序推动问题整改，召开审计整改工</w:t>
      </w:r>
      <w:r>
        <w:rPr>
          <w:rFonts w:hint="eastAsia" w:ascii="Times New Roman" w:hAnsi="Times New Roman" w:eastAsia="仿宋_GB2312" w:cs="Times New Roman"/>
          <w:color w:val="auto"/>
          <w:kern w:val="2"/>
          <w:sz w:val="32"/>
          <w:szCs w:val="32"/>
          <w:lang w:val="en-US" w:eastAsia="zh-CN" w:bidi="ar-SA"/>
        </w:rPr>
        <w:t>作专题务虚会，分析研判审计整改工作，目前，2023年度实施的19个审计项目中已完成问题整改321个，正在整改32个，整改率为90.94%，其中：247个立行立改的问题已全部完成整改，整改率100%；分阶段和持续整改问题已整改74个。通过上缴国库、统筹盘活、收回资金、促进拨付使用、调账等方式落实整改问题金额114321.88万元，建章立制43项，追责问责27人。</w:t>
      </w:r>
    </w:p>
    <w:p w14:paraId="644FA003">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5.加强自身建设情况</w:t>
      </w:r>
    </w:p>
    <w:p w14:paraId="75169EB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b/>
          <w:bCs/>
          <w:sz w:val="32"/>
          <w:szCs w:val="32"/>
          <w:lang w:val="en" w:eastAsia="zh-CN"/>
        </w:rPr>
        <w:t>一是扎实开展党纪学习教育。</w:t>
      </w:r>
      <w:r>
        <w:rPr>
          <w:rFonts w:hint="default" w:ascii="仿宋_GB2312" w:hAnsi="仿宋_GB2312" w:eastAsia="仿宋_GB2312" w:cs="仿宋_GB2312"/>
          <w:sz w:val="32"/>
          <w:szCs w:val="32"/>
          <w:lang w:val="en-US" w:eastAsia="zh-CN"/>
        </w:rPr>
        <w:t>坚决把开展党纪学习教育作为重要政治任务，</w:t>
      </w:r>
      <w:r>
        <w:rPr>
          <w:rFonts w:hint="eastAsia" w:ascii="仿宋_GB2312" w:hAnsi="仿宋_GB2312" w:eastAsia="仿宋_GB2312" w:cs="仿宋_GB2312"/>
          <w:sz w:val="32"/>
          <w:szCs w:val="32"/>
          <w:lang w:val="en-US" w:eastAsia="zh-CN"/>
        </w:rPr>
        <w:t>组织通报典型警示案例、</w:t>
      </w:r>
      <w:r>
        <w:rPr>
          <w:rFonts w:hint="eastAsia" w:ascii="Times New Roman" w:hAnsi="Times New Roman" w:eastAsia="仿宋_GB2312" w:cs="Times New Roman"/>
          <w:sz w:val="32"/>
          <w:szCs w:val="32"/>
          <w:lang w:val="en-US" w:eastAsia="zh-CN"/>
        </w:rPr>
        <w:t>观看警示教育片、参观廉政教育基地，邀请党校老师为局机关全体党员干部、沿河社区、联建企业、基层</w:t>
      </w:r>
      <w:r>
        <w:rPr>
          <w:rFonts w:hint="eastAsia" w:ascii="Times New Roman" w:hAnsi="Times New Roman" w:eastAsia="仿宋_GB2312" w:cs="Times New Roman"/>
          <w:sz w:val="32"/>
          <w:szCs w:val="32"/>
          <w:u w:val="none"/>
          <w:lang w:val="en-US" w:eastAsia="zh-CN"/>
        </w:rPr>
        <w:t>审计机关骨干进行专题授课，</w:t>
      </w:r>
      <w:r>
        <w:rPr>
          <w:rFonts w:hint="eastAsia" w:ascii="Times New Roman" w:hAnsi="Times New Roman" w:eastAsia="仿宋_GB2312" w:cs="Times New Roman"/>
          <w:sz w:val="32"/>
          <w:szCs w:val="32"/>
          <w:u w:val="none"/>
          <w:lang w:val="en" w:eastAsia="zh-CN"/>
        </w:rPr>
        <w:t>坚持党员领导干部示范带头学，以“关键少数”带动“关键少数”，成功举办</w:t>
      </w:r>
      <w:r>
        <w:rPr>
          <w:rFonts w:hint="eastAsia" w:ascii="Times New Roman" w:hAnsi="Times New Roman" w:eastAsia="仿宋_GB2312" w:cs="Times New Roman"/>
          <w:sz w:val="32"/>
          <w:szCs w:val="32"/>
          <w:u w:val="none"/>
          <w:lang w:val="en-US" w:eastAsia="zh-CN"/>
        </w:rPr>
        <w:t>2期专题读书班，让全体党员领导干部静下心脱产学习4天，真正做到先学一步，深学一层，切实把党纪的“他律要求”转化为“内在追求”</w:t>
      </w:r>
      <w:r>
        <w:rPr>
          <w:rFonts w:hint="eastAsia" w:ascii="Times New Roman" w:hAnsi="Times New Roman" w:eastAsia="仿宋_GB2312" w:cs="Times New Roman"/>
          <w:sz w:val="32"/>
          <w:szCs w:val="32"/>
          <w:lang w:val="en-US" w:eastAsia="zh-CN"/>
        </w:rPr>
        <w:t>。</w:t>
      </w:r>
    </w:p>
    <w:p w14:paraId="7C61FAA9">
      <w:pPr>
        <w:pStyle w:val="4"/>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rightChars="0" w:firstLine="616" w:firstLineChars="200"/>
        <w:jc w:val="both"/>
        <w:textAlignment w:val="auto"/>
        <w:rPr>
          <w:rFonts w:hint="eastAsia" w:ascii="Times New Roman" w:hAnsi="Times New Roman" w:eastAsia="仿宋_GB2312" w:cs="Times New Roman"/>
          <w:b/>
          <w:bCs/>
          <w:sz w:val="32"/>
          <w:szCs w:val="32"/>
          <w:lang w:val="en-US" w:eastAsia="zh-CN"/>
        </w:rPr>
      </w:pPr>
      <w:r>
        <w:rPr>
          <w:rFonts w:hint="eastAsia" w:ascii="仿宋_GB2312" w:hAnsi="仿宋_GB2312" w:eastAsia="仿宋_GB2312" w:cs="仿宋_GB2312"/>
          <w:b/>
          <w:bCs/>
          <w:sz w:val="32"/>
          <w:szCs w:val="32"/>
          <w:lang w:val="en" w:eastAsia="zh-CN"/>
        </w:rPr>
        <w:t>二是深化拓展</w:t>
      </w:r>
      <w:r>
        <w:rPr>
          <w:rFonts w:hint="eastAsia" w:ascii="仿宋_GB2312" w:hAnsi="仿宋_GB2312" w:eastAsia="仿宋_GB2312" w:cs="仿宋_GB2312"/>
          <w:b/>
          <w:bCs/>
          <w:sz w:val="32"/>
          <w:szCs w:val="32"/>
          <w:lang w:val="en-US" w:eastAsia="zh-CN"/>
        </w:rPr>
        <w:t>党建品牌</w:t>
      </w:r>
      <w:r>
        <w:rPr>
          <w:rFonts w:hint="eastAsia" w:ascii="仿宋_GB2312" w:hAnsi="仿宋_GB2312" w:eastAsia="仿宋_GB2312" w:cs="仿宋_GB2312"/>
          <w:b/>
          <w:bCs/>
          <w:sz w:val="32"/>
          <w:szCs w:val="32"/>
          <w:lang w:val="en" w:eastAsia="zh-CN"/>
        </w:rPr>
        <w:t>。</w:t>
      </w:r>
      <w:r>
        <w:rPr>
          <w:rFonts w:hint="default" w:ascii="仿宋_GB2312" w:hAnsi="仿宋_GB2312" w:eastAsia="仿宋_GB2312" w:cs="仿宋_GB2312"/>
          <w:sz w:val="32"/>
          <w:szCs w:val="32"/>
          <w:lang w:val="en" w:eastAsia="zh-CN"/>
        </w:rPr>
        <w:t>坚持“围绕审计抓党建、抓好党建促审计”的工作理念，</w:t>
      </w:r>
      <w:r>
        <w:rPr>
          <w:rFonts w:hint="eastAsia" w:ascii="仿宋_GB2312" w:hAnsi="仿宋_GB2312" w:eastAsia="仿宋_GB2312" w:cs="仿宋_GB2312"/>
          <w:sz w:val="32"/>
          <w:szCs w:val="32"/>
          <w:lang w:val="en" w:eastAsia="zh-CN"/>
        </w:rPr>
        <w:t>不断</w:t>
      </w:r>
      <w:r>
        <w:rPr>
          <w:rFonts w:hint="default" w:ascii="仿宋_GB2312" w:hAnsi="仿宋_GB2312" w:eastAsia="仿宋_GB2312" w:cs="仿宋_GB2312"/>
          <w:sz w:val="32"/>
          <w:szCs w:val="32"/>
          <w:lang w:val="en" w:eastAsia="zh-CN"/>
        </w:rPr>
        <w:t>擦亮“审计铁军·经济卫士”党建品牌，</w:t>
      </w:r>
      <w:r>
        <w:rPr>
          <w:rFonts w:hint="eastAsia" w:ascii="仿宋_GB2312" w:hAnsi="仿宋_GB2312" w:eastAsia="仿宋_GB2312" w:cs="仿宋_GB2312"/>
          <w:sz w:val="32"/>
          <w:szCs w:val="32"/>
          <w:lang w:val="en" w:eastAsia="zh-CN"/>
        </w:rPr>
        <w:t>结合在职党员社区“双报到双服务”活动的纵深推进，投入资</w:t>
      </w:r>
      <w:r>
        <w:rPr>
          <w:rFonts w:hint="eastAsia" w:ascii="Times New Roman" w:hAnsi="Times New Roman" w:eastAsia="仿宋_GB2312" w:cs="Times New Roman"/>
          <w:color w:val="auto"/>
          <w:kern w:val="2"/>
          <w:sz w:val="32"/>
          <w:szCs w:val="32"/>
          <w:u w:val="none"/>
          <w:lang w:val="en" w:eastAsia="zh-CN" w:bidi="ar-SA"/>
        </w:rPr>
        <w:t>金</w:t>
      </w:r>
      <w:r>
        <w:rPr>
          <w:rFonts w:hint="eastAsia" w:ascii="Times New Roman" w:hAnsi="Times New Roman" w:eastAsia="仿宋_GB2312" w:cs="Times New Roman"/>
          <w:color w:val="auto"/>
          <w:kern w:val="2"/>
          <w:sz w:val="32"/>
          <w:szCs w:val="32"/>
          <w:u w:val="none"/>
          <w:lang w:val="en-US" w:eastAsia="zh-CN" w:bidi="ar-SA"/>
        </w:rPr>
        <w:t>11万余元</w:t>
      </w:r>
      <w:r>
        <w:rPr>
          <w:rFonts w:hint="eastAsia" w:ascii="Times New Roman" w:hAnsi="Times New Roman" w:eastAsia="仿宋_GB2312" w:cs="Times New Roman"/>
          <w:color w:val="auto"/>
          <w:kern w:val="2"/>
          <w:sz w:val="32"/>
          <w:szCs w:val="32"/>
          <w:lang w:val="en-US" w:eastAsia="zh-CN" w:bidi="ar-SA"/>
        </w:rPr>
        <w:t>，开</w:t>
      </w:r>
      <w:r>
        <w:rPr>
          <w:rFonts w:hint="eastAsia" w:ascii="仿宋_GB2312" w:hAnsi="仿宋_GB2312" w:eastAsia="仿宋_GB2312" w:cs="仿宋_GB2312"/>
          <w:sz w:val="32"/>
          <w:szCs w:val="32"/>
          <w:lang w:val="en-US" w:eastAsia="zh-CN"/>
        </w:rPr>
        <w:t>展共上党课、齐心帮困等结对共建主题党日活动。为加强“审计+业务”双融双促，</w:t>
      </w:r>
      <w:r>
        <w:rPr>
          <w:rFonts w:hint="eastAsia" w:ascii="Times New Roman" w:hAnsi="Times New Roman" w:eastAsia="仿宋_GB2312" w:cs="Times New Roman"/>
          <w:sz w:val="32"/>
          <w:szCs w:val="32"/>
          <w:u w:val="none"/>
          <w:lang w:val="en-US" w:eastAsia="zh-CN"/>
        </w:rPr>
        <w:t>对在外审计组成立了青年理论学习小组5个，出台</w:t>
      </w:r>
      <w:r>
        <w:rPr>
          <w:rFonts w:hint="default" w:ascii="Times New Roman" w:hAnsi="Times New Roman" w:eastAsia="仿宋_GB2312" w:cs="Times New Roman"/>
          <w:sz w:val="32"/>
          <w:szCs w:val="32"/>
          <w:u w:val="none"/>
          <w:lang w:val="en-US" w:eastAsia="zh-CN"/>
        </w:rPr>
        <w:t>《青年理论学习小组学习制度》</w:t>
      </w:r>
      <w:r>
        <w:rPr>
          <w:rFonts w:hint="eastAsia" w:ascii="Times New Roman" w:hAnsi="Times New Roman" w:eastAsia="仿宋_GB2312" w:cs="Times New Roman"/>
          <w:sz w:val="32"/>
          <w:szCs w:val="32"/>
          <w:u w:val="none"/>
          <w:lang w:val="en-US" w:eastAsia="zh-CN"/>
        </w:rPr>
        <w:t>，组织学习10余次，促进理论素养与业务能力同步提升，</w:t>
      </w:r>
      <w:r>
        <w:rPr>
          <w:rFonts w:hint="eastAsia" w:ascii="仿宋_GB2312" w:hAnsi="仿宋_GB2312" w:eastAsia="仿宋_GB2312" w:cs="仿宋_GB2312"/>
          <w:sz w:val="32"/>
          <w:szCs w:val="32"/>
          <w:lang w:val="en-US" w:eastAsia="zh-CN"/>
        </w:rPr>
        <w:t>全面提升机关党建工作质量和水平。</w:t>
      </w:r>
    </w:p>
    <w:p w14:paraId="76FD826A">
      <w:pPr>
        <w:keepNext w:val="0"/>
        <w:keepLines w:val="0"/>
        <w:pageBreakBefore w:val="0"/>
        <w:numPr>
          <w:ilvl w:val="0"/>
          <w:numId w:val="0"/>
        </w:numPr>
        <w:kinsoku/>
        <w:wordWrap/>
        <w:overflowPunct/>
        <w:topLinePunct w:val="0"/>
        <w:autoSpaceDE w:val="0"/>
        <w:autoSpaceDN/>
        <w:bidi w:val="0"/>
        <w:spacing w:beforeAutospacing="0" w:afterAutospacing="0" w:line="576" w:lineRule="exact"/>
        <w:ind w:leftChars="200"/>
        <w:jc w:val="both"/>
        <w:textAlignment w:val="auto"/>
        <w:outlineLvl w:val="1"/>
        <w:rPr>
          <w:rFonts w:hint="eastAsia" w:ascii="仿宋_GB2312" w:hAnsi="仿宋_GB2312" w:eastAsia="仿宋_GB2312" w:cs="仿宋_GB2312"/>
          <w:sz w:val="32"/>
          <w:szCs w:val="32"/>
          <w:lang w:val="en" w:eastAsia="zh-CN"/>
        </w:rPr>
      </w:pPr>
      <w:r>
        <w:rPr>
          <w:rFonts w:hint="eastAsia" w:ascii="Times New Roman" w:hAnsi="Times New Roman" w:eastAsia="仿宋_GB2312" w:cs="Times New Roman"/>
          <w:b/>
          <w:bCs/>
          <w:sz w:val="32"/>
          <w:szCs w:val="32"/>
          <w:lang w:val="en-US" w:eastAsia="zh-CN"/>
        </w:rPr>
        <w:t>三是加强干部队伍建设。</w:t>
      </w:r>
      <w:r>
        <w:rPr>
          <w:rFonts w:hint="eastAsia" w:ascii="仿宋_GB2312" w:hAnsi="仿宋_GB2312" w:eastAsia="仿宋_GB2312" w:cs="仿宋_GB2312"/>
          <w:sz w:val="32"/>
          <w:szCs w:val="32"/>
          <w:lang w:val="en" w:eastAsia="zh-CN"/>
        </w:rPr>
        <w:t>严格落实“第一议题”制度，组织</w:t>
      </w:r>
    </w:p>
    <w:p w14:paraId="5130177F">
      <w:pPr>
        <w:keepNext w:val="0"/>
        <w:keepLines w:val="0"/>
        <w:pageBreakBefore w:val="0"/>
        <w:numPr>
          <w:ilvl w:val="0"/>
          <w:numId w:val="0"/>
        </w:numPr>
        <w:kinsoku/>
        <w:wordWrap/>
        <w:overflowPunct/>
        <w:topLinePunct w:val="0"/>
        <w:autoSpaceDE w:val="0"/>
        <w:autoSpaceDN/>
        <w:bidi w:val="0"/>
        <w:spacing w:beforeAutospacing="0" w:afterAutospacing="0" w:line="576" w:lineRule="exact"/>
        <w:jc w:val="both"/>
        <w:textAlignment w:val="auto"/>
        <w:outlineLvl w:val="1"/>
        <w:rPr>
          <w:rFonts w:hint="eastAsia" w:ascii="楷体_GB2312" w:hAnsi="楷体_GB2312" w:eastAsia="楷体_GB2312" w:cs="楷体_GB2312"/>
          <w:b w:val="0"/>
          <w:bCs w:val="0"/>
          <w:color w:val="FF0000"/>
          <w:sz w:val="32"/>
          <w:szCs w:val="32"/>
          <w:lang w:val="en-US" w:eastAsia="zh-CN" w:bidi="ar"/>
        </w:rPr>
      </w:pPr>
      <w:r>
        <w:rPr>
          <w:rFonts w:hint="eastAsia" w:ascii="仿宋_GB2312" w:hAnsi="仿宋_GB2312" w:eastAsia="仿宋_GB2312" w:cs="仿宋_GB2312"/>
          <w:sz w:val="32"/>
          <w:szCs w:val="32"/>
          <w:lang w:val="en-US" w:eastAsia="zh-CN"/>
        </w:rPr>
        <w:t>召开</w:t>
      </w:r>
      <w:r>
        <w:rPr>
          <w:rFonts w:hint="default" w:ascii="仿宋_GB2312" w:hAnsi="仿宋_GB2312" w:eastAsia="仿宋_GB2312" w:cs="仿宋_GB2312"/>
          <w:sz w:val="32"/>
          <w:szCs w:val="32"/>
          <w:lang w:val="en" w:eastAsia="zh-CN"/>
        </w:rPr>
        <w:t>党组</w:t>
      </w:r>
      <w:r>
        <w:rPr>
          <w:rFonts w:hint="eastAsia" w:ascii="仿宋_GB2312" w:hAnsi="仿宋_GB2312" w:eastAsia="仿宋_GB2312" w:cs="仿宋_GB2312"/>
          <w:sz w:val="32"/>
          <w:szCs w:val="32"/>
          <w:lang w:val="en" w:eastAsia="zh-CN"/>
        </w:rPr>
        <w:t>理论学习</w:t>
      </w:r>
      <w:r>
        <w:rPr>
          <w:rFonts w:hint="default" w:ascii="仿宋_GB2312" w:hAnsi="仿宋_GB2312" w:eastAsia="仿宋_GB2312" w:cs="仿宋_GB2312"/>
          <w:sz w:val="32"/>
          <w:szCs w:val="32"/>
          <w:lang w:val="en" w:eastAsia="zh-CN"/>
        </w:rPr>
        <w:t>中心组</w:t>
      </w:r>
      <w:r>
        <w:rPr>
          <w:rFonts w:hint="eastAsia" w:ascii="仿宋_GB2312" w:hAnsi="仿宋_GB2312" w:eastAsia="仿宋_GB2312" w:cs="仿宋_GB2312"/>
          <w:sz w:val="32"/>
          <w:szCs w:val="32"/>
          <w:lang w:val="en" w:eastAsia="zh-CN"/>
        </w:rPr>
        <w:t>学习</w:t>
      </w:r>
      <w:r>
        <w:rPr>
          <w:rFonts w:hint="eastAsia"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lang w:val="en-US" w:eastAsia="zh-CN"/>
        </w:rPr>
        <w:t>次、</w:t>
      </w:r>
      <w:r>
        <w:rPr>
          <w:rFonts w:hint="eastAsia" w:ascii="Times New Roman" w:hAnsi="Times New Roman" w:eastAsia="仿宋_GB2312" w:cs="Times New Roman"/>
          <w:sz w:val="32"/>
          <w:szCs w:val="32"/>
          <w:lang w:val="en-US" w:eastAsia="zh-CN"/>
        </w:rPr>
        <w:t>党组会18次、支部学习会议33次，</w:t>
      </w:r>
      <w:r>
        <w:rPr>
          <w:rFonts w:hint="eastAsia" w:ascii="Times New Roman" w:hAnsi="Times New Roman" w:eastAsia="仿宋_GB2312" w:cs="Times New Roman"/>
          <w:sz w:val="32"/>
          <w:szCs w:val="32"/>
          <w:lang w:val="en" w:eastAsia="zh-CN"/>
        </w:rPr>
        <w:t>选派</w:t>
      </w:r>
      <w:r>
        <w:rPr>
          <w:rFonts w:hint="eastAsia" w:ascii="Times New Roman" w:hAnsi="Times New Roman" w:eastAsia="仿宋_GB2312" w:cs="Times New Roman"/>
          <w:sz w:val="32"/>
          <w:szCs w:val="32"/>
          <w:lang w:val="en-US" w:eastAsia="zh-CN"/>
        </w:rPr>
        <w:t>20余名干部参加巡视巡察、纪委办案以及各类专题授课，邀请审计署金融一局副局长韩晓东为全市各级党政主要领导干部、财务人员、审计人员开展审计专题讲座，成功举办审计系统赴广东业务培训班</w:t>
      </w:r>
      <w:r>
        <w:rPr>
          <w:rFonts w:hint="eastAsia" w:ascii="Times New Roman" w:hAnsi="Times New Roman" w:eastAsia="仿宋_GB2312" w:cs="Times New Roman"/>
          <w:sz w:val="32"/>
          <w:szCs w:val="32"/>
          <w:lang w:val="en" w:eastAsia="zh-CN"/>
        </w:rPr>
        <w:t>，不断提升</w:t>
      </w:r>
      <w:r>
        <w:rPr>
          <w:rFonts w:hint="default" w:ascii="Times New Roman" w:hAnsi="Times New Roman" w:eastAsia="仿宋_GB2312" w:cs="Times New Roman"/>
          <w:sz w:val="32"/>
          <w:szCs w:val="32"/>
          <w:lang w:val="en" w:eastAsia="zh-CN"/>
        </w:rPr>
        <w:t>干部职工</w:t>
      </w:r>
      <w:r>
        <w:rPr>
          <w:rFonts w:hint="eastAsia" w:ascii="Times New Roman" w:hAnsi="Times New Roman" w:eastAsia="仿宋_GB2312" w:cs="Times New Roman"/>
          <w:sz w:val="32"/>
          <w:szCs w:val="32"/>
          <w:lang w:val="en" w:eastAsia="zh-CN"/>
        </w:rPr>
        <w:t>履职能力</w:t>
      </w:r>
      <w:r>
        <w:rPr>
          <w:rFonts w:hint="default" w:ascii="Times New Roman" w:hAnsi="Times New Roman" w:eastAsia="仿宋_GB2312" w:cs="Times New Roman"/>
          <w:sz w:val="32"/>
          <w:szCs w:val="32"/>
          <w:lang w:val="en" w:eastAsia="zh-CN"/>
        </w:rPr>
        <w:t>，</w:t>
      </w:r>
      <w:r>
        <w:rPr>
          <w:rFonts w:hint="eastAsia" w:ascii="仿宋_GB2312" w:hAnsi="仿宋_GB2312" w:eastAsia="仿宋_GB2312" w:cs="仿宋_GB2312"/>
          <w:sz w:val="32"/>
          <w:szCs w:val="32"/>
          <w:lang w:val="en-US" w:eastAsia="zh-CN"/>
        </w:rPr>
        <w:t>严格执行“审前承诺、进点公示</w:t>
      </w:r>
      <w:r>
        <w:rPr>
          <w:rFonts w:hint="eastAsia" w:ascii="Nimbus Roman No9 L" w:hAnsi="Nimbus Roman No9 L" w:eastAsia="仿宋_GB2312" w:cs="Nimbus Roman No9 L"/>
          <w:color w:val="000000"/>
          <w:kern w:val="2"/>
          <w:sz w:val="32"/>
          <w:szCs w:val="32"/>
          <w:lang w:val="en-US" w:eastAsia="zh-CN" w:bidi="ar-SA"/>
        </w:rPr>
        <w:t>、审中检查、审后回访”的廉政监督管理方式，在每个审计组</w:t>
      </w:r>
      <w:r>
        <w:rPr>
          <w:rFonts w:hint="eastAsia" w:ascii="Times New Roman" w:hAnsi="Times New Roman" w:eastAsia="仿宋_GB2312" w:cs="Times New Roman"/>
          <w:color w:val="auto"/>
          <w:kern w:val="2"/>
          <w:sz w:val="32"/>
          <w:szCs w:val="32"/>
          <w:lang w:val="en-US" w:eastAsia="zh-CN" w:bidi="ar-SA"/>
        </w:rPr>
        <w:t>设置廉政监督员1名，</w:t>
      </w:r>
      <w:r>
        <w:rPr>
          <w:rFonts w:hint="eastAsia" w:ascii="Nimbus Roman No9 L" w:hAnsi="Nimbus Roman No9 L" w:eastAsia="仿宋_GB2312" w:cs="Nimbus Roman No9 L"/>
          <w:color w:val="000000"/>
          <w:kern w:val="2"/>
          <w:sz w:val="32"/>
          <w:szCs w:val="32"/>
          <w:lang w:val="en-US" w:eastAsia="zh-CN" w:bidi="ar-SA"/>
        </w:rPr>
        <w:t>落实审前廉政谈，</w:t>
      </w:r>
      <w:r>
        <w:rPr>
          <w:rFonts w:hint="eastAsia" w:ascii="仿宋_GB2312" w:hAnsi="仿宋_GB2312" w:eastAsia="仿宋_GB2312" w:cs="仿宋_GB2312"/>
          <w:sz w:val="32"/>
          <w:szCs w:val="32"/>
          <w:lang w:val="en-US" w:eastAsia="zh-CN"/>
        </w:rPr>
        <w:t>做到</w:t>
      </w:r>
      <w:r>
        <w:rPr>
          <w:rFonts w:hint="eastAsia" w:ascii="仿宋_GB2312" w:hAnsi="仿宋_GB2312" w:eastAsia="仿宋_GB2312" w:cs="仿宋_GB2312"/>
          <w:sz w:val="32"/>
          <w:szCs w:val="32"/>
          <w:lang w:val="en" w:eastAsia="zh-CN"/>
        </w:rPr>
        <w:t>警示在前、督查在中、回访收尾，</w:t>
      </w:r>
      <w:r>
        <w:rPr>
          <w:rFonts w:hint="eastAsia" w:ascii="Times New Roman" w:hAnsi="Times New Roman" w:eastAsia="仿宋_GB2312" w:cs="Times New Roman"/>
          <w:sz w:val="32"/>
          <w:szCs w:val="32"/>
          <w:lang w:val="en" w:eastAsia="zh-CN"/>
        </w:rPr>
        <w:t>同时</w:t>
      </w:r>
      <w:r>
        <w:rPr>
          <w:rFonts w:hint="default" w:ascii="Times New Roman" w:hAnsi="Times New Roman" w:eastAsia="仿宋_GB2312" w:cs="Times New Roman"/>
          <w:sz w:val="32"/>
          <w:szCs w:val="32"/>
          <w:lang w:val="en" w:eastAsia="zh-CN"/>
        </w:rPr>
        <w:t>立足干部需求和岗位特点，</w:t>
      </w:r>
      <w:r>
        <w:rPr>
          <w:rFonts w:hint="eastAsia" w:ascii="Times New Roman" w:hAnsi="Times New Roman" w:eastAsia="仿宋_GB2312" w:cs="Times New Roman"/>
          <w:sz w:val="32"/>
          <w:szCs w:val="32"/>
          <w:lang w:val="en-US" w:eastAsia="zh-CN"/>
        </w:rPr>
        <w:t>提拔干部12名，交流使用干部8名，优化干部队伍结构</w:t>
      </w:r>
      <w:r>
        <w:rPr>
          <w:rFonts w:hint="default" w:ascii="Times New Roman" w:hAnsi="Times New Roman" w:eastAsia="仿宋_GB2312" w:cs="Times New Roman"/>
          <w:sz w:val="32"/>
          <w:szCs w:val="32"/>
          <w:lang w:val="en" w:eastAsia="zh-CN"/>
        </w:rPr>
        <w:t>。</w:t>
      </w:r>
    </w:p>
    <w:p w14:paraId="10C931F4">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16" w:firstLineChars="200"/>
        <w:jc w:val="both"/>
        <w:textAlignment w:val="auto"/>
        <w:outlineLvl w:val="9"/>
        <w:rPr>
          <w:rFonts w:ascii="楷体_GB2312" w:eastAsia="楷体_GB2312"/>
          <w:b/>
          <w:bCs/>
          <w:color w:val="auto"/>
          <w:szCs w:val="32"/>
        </w:rPr>
      </w:pPr>
      <w:r>
        <w:rPr>
          <w:rFonts w:hint="eastAsia" w:ascii="楷体_GB2312" w:eastAsia="楷体_GB2312"/>
          <w:b/>
          <w:bCs/>
          <w:color w:val="auto"/>
          <w:szCs w:val="32"/>
        </w:rPr>
        <w:t>（</w:t>
      </w:r>
      <w:r>
        <w:rPr>
          <w:rFonts w:hint="eastAsia" w:ascii="楷体_GB2312" w:eastAsia="楷体_GB2312"/>
          <w:b/>
          <w:bCs/>
          <w:color w:val="auto"/>
          <w:szCs w:val="32"/>
          <w:lang w:eastAsia="zh-CN"/>
        </w:rPr>
        <w:t>五</w:t>
      </w:r>
      <w:r>
        <w:rPr>
          <w:rFonts w:hint="eastAsia" w:ascii="楷体_GB2312" w:eastAsia="楷体_GB2312"/>
          <w:b/>
          <w:bCs/>
          <w:color w:val="auto"/>
          <w:szCs w:val="32"/>
        </w:rPr>
        <w:t>）</w:t>
      </w:r>
      <w:bookmarkEnd w:id="8"/>
      <w:bookmarkEnd w:id="9"/>
      <w:r>
        <w:rPr>
          <w:rFonts w:hint="eastAsia" w:ascii="楷体_GB2312" w:eastAsia="楷体_GB2312"/>
          <w:b/>
          <w:bCs/>
          <w:color w:val="auto"/>
          <w:szCs w:val="32"/>
        </w:rPr>
        <w:t>部门整体支出情况</w:t>
      </w:r>
    </w:p>
    <w:p w14:paraId="1FBE2985">
      <w:pPr>
        <w:pStyle w:val="4"/>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Autospacing="0" w:afterAutospacing="0" w:line="576" w:lineRule="exact"/>
        <w:ind w:left="0" w:leftChars="0" w:firstLine="616" w:firstLineChars="200"/>
        <w:jc w:val="both"/>
        <w:textAlignment w:val="auto"/>
        <w:rPr>
          <w:rFonts w:hint="default" w:ascii="仿宋_GB2312" w:hAnsi="仿宋_GB2312" w:eastAsia="仿宋_GB2312" w:cs="仿宋_GB2312"/>
          <w:bCs/>
          <w:color w:val="auto"/>
          <w:szCs w:val="32"/>
          <w:lang w:val="en-US" w:eastAsia="zh-CN"/>
        </w:rPr>
      </w:pPr>
      <w:r>
        <w:rPr>
          <w:rFonts w:hint="eastAsia" w:ascii="仿宋_GB2312" w:hAnsi="仿宋_GB2312" w:eastAsia="仿宋_GB2312" w:cs="仿宋_GB2312"/>
          <w:color w:val="auto"/>
          <w:sz w:val="32"/>
          <w:szCs w:val="32"/>
          <w:lang w:val="en-US" w:eastAsia="zh-CN"/>
        </w:rPr>
        <w:t>2024年</w:t>
      </w:r>
      <w:r>
        <w:rPr>
          <w:rFonts w:hint="eastAsia" w:ascii="仿宋_GB2312" w:hAnsi="仿宋_GB2312" w:eastAsia="仿宋_GB2312" w:cs="仿宋_GB2312"/>
          <w:color w:val="auto"/>
          <w:sz w:val="32"/>
          <w:szCs w:val="32"/>
          <w:lang w:eastAsia="zh-CN"/>
        </w:rPr>
        <w:t>部门整体的年度预算</w:t>
      </w:r>
      <w:r>
        <w:rPr>
          <w:rFonts w:hint="eastAsia" w:ascii="仿宋_GB2312" w:hAnsi="仿宋_GB2312" w:cs="仿宋_GB2312"/>
          <w:color w:val="auto"/>
          <w:sz w:val="32"/>
          <w:szCs w:val="32"/>
          <w:lang w:val="en-US" w:eastAsia="zh-CN"/>
        </w:rPr>
        <w:t>1589.65</w:t>
      </w:r>
      <w:r>
        <w:rPr>
          <w:rFonts w:hint="eastAsia" w:ascii="仿宋_GB2312" w:hAnsi="仿宋_GB2312" w:eastAsia="仿宋_GB2312" w:cs="仿宋_GB2312"/>
          <w:color w:val="auto"/>
          <w:sz w:val="32"/>
          <w:szCs w:val="32"/>
          <w:lang w:val="en-US" w:eastAsia="zh-CN"/>
        </w:rPr>
        <w:t>万元</w:t>
      </w:r>
      <w:r>
        <w:rPr>
          <w:rFonts w:hint="default" w:ascii="仿宋_GB2312" w:hAnsi="仿宋_GB2312" w:cs="仿宋_GB2312"/>
          <w:color w:val="auto"/>
          <w:sz w:val="32"/>
          <w:szCs w:val="32"/>
          <w:lang w:val="en" w:eastAsia="zh-CN"/>
        </w:rPr>
        <w:t>,</w:t>
      </w:r>
      <w:r>
        <w:rPr>
          <w:rFonts w:hint="eastAsia" w:ascii="仿宋_GB2312" w:hAnsi="仿宋_GB2312" w:eastAsia="仿宋_GB2312" w:cs="仿宋_GB2312"/>
          <w:color w:val="auto"/>
          <w:sz w:val="32"/>
          <w:szCs w:val="32"/>
          <w:lang w:eastAsia="zh-CN"/>
        </w:rPr>
        <w:t>预算调整</w:t>
      </w:r>
      <w:r>
        <w:rPr>
          <w:rFonts w:hint="eastAsia" w:ascii="仿宋_GB2312" w:hAnsi="仿宋_GB2312" w:cs="仿宋_GB2312"/>
          <w:color w:val="auto"/>
          <w:sz w:val="32"/>
          <w:szCs w:val="32"/>
          <w:lang w:val="en-US" w:eastAsia="zh-CN"/>
        </w:rPr>
        <w:t>-121.11万元，</w:t>
      </w:r>
      <w:r>
        <w:rPr>
          <w:rFonts w:hint="eastAsia" w:ascii="仿宋_GB2312" w:hAnsi="仿宋_GB2312" w:cs="仿宋_GB2312"/>
          <w:color w:val="auto"/>
          <w:sz w:val="32"/>
          <w:szCs w:val="32"/>
          <w:lang w:eastAsia="zh-CN"/>
        </w:rPr>
        <w:t>调整后预算数为</w:t>
      </w:r>
      <w:r>
        <w:rPr>
          <w:rFonts w:hint="eastAsia" w:ascii="仿宋_GB2312" w:hAnsi="仿宋_GB2312" w:cs="仿宋_GB2312"/>
          <w:color w:val="auto"/>
          <w:sz w:val="32"/>
          <w:szCs w:val="32"/>
          <w:lang w:val="en-US" w:eastAsia="zh-CN"/>
        </w:rPr>
        <w:t>1468.53万元，支出金额为1468.53万元。支出率为100%。</w:t>
      </w:r>
      <w:r>
        <w:rPr>
          <w:rFonts w:hint="eastAsia" w:ascii="仿宋_GB2312" w:hAnsi="仿宋_GB2312" w:eastAsia="仿宋_GB2312" w:cs="仿宋_GB2312"/>
          <w:kern w:val="0"/>
          <w:position w:val="-2"/>
          <w:sz w:val="32"/>
          <w:szCs w:val="32"/>
          <w:lang w:val="en-US" w:eastAsia="zh-CN"/>
        </w:rPr>
        <w:t>2024</w:t>
      </w:r>
      <w:r>
        <w:rPr>
          <w:rFonts w:hint="eastAsia" w:ascii="仿宋_GB2312" w:hAnsi="仿宋_GB2312" w:eastAsia="仿宋_GB2312" w:cs="仿宋_GB2312"/>
          <w:kern w:val="0"/>
          <w:position w:val="-2"/>
          <w:sz w:val="32"/>
          <w:szCs w:val="32"/>
        </w:rPr>
        <w:t>年度财政拨款支出</w:t>
      </w:r>
      <w:r>
        <w:rPr>
          <w:rFonts w:hint="eastAsia" w:ascii="仿宋_GB2312" w:hAnsi="仿宋_GB2312" w:eastAsia="仿宋_GB2312" w:cs="仿宋_GB2312"/>
          <w:kern w:val="0"/>
          <w:position w:val="-2"/>
          <w:sz w:val="32"/>
          <w:szCs w:val="32"/>
          <w:lang w:val="en-US" w:eastAsia="zh-CN"/>
        </w:rPr>
        <w:t>1468.53</w:t>
      </w:r>
      <w:r>
        <w:rPr>
          <w:rFonts w:hint="eastAsia" w:ascii="仿宋_GB2312" w:hAnsi="仿宋_GB2312" w:eastAsia="仿宋_GB2312" w:cs="仿宋_GB2312"/>
          <w:kern w:val="0"/>
          <w:position w:val="-2"/>
          <w:sz w:val="32"/>
          <w:szCs w:val="32"/>
        </w:rPr>
        <w:t>万元，主要用于以下方面：一般公共服务（类）支出</w:t>
      </w:r>
      <w:r>
        <w:rPr>
          <w:rFonts w:hint="eastAsia" w:ascii="仿宋_GB2312" w:hAnsi="仿宋_GB2312" w:eastAsia="仿宋_GB2312" w:cs="仿宋_GB2312"/>
          <w:kern w:val="0"/>
          <w:position w:val="-2"/>
          <w:sz w:val="32"/>
          <w:szCs w:val="32"/>
          <w:lang w:val="en-US" w:eastAsia="zh-CN"/>
        </w:rPr>
        <w:t>1468.53</w:t>
      </w:r>
      <w:r>
        <w:rPr>
          <w:rFonts w:hint="eastAsia" w:ascii="仿宋_GB2312" w:hAnsi="仿宋_GB2312" w:eastAsia="仿宋_GB2312" w:cs="仿宋_GB2312"/>
          <w:kern w:val="0"/>
          <w:position w:val="-2"/>
          <w:sz w:val="32"/>
          <w:szCs w:val="32"/>
        </w:rPr>
        <w:t>万元，占</w:t>
      </w:r>
      <w:r>
        <w:rPr>
          <w:rFonts w:hint="eastAsia" w:ascii="仿宋_GB2312" w:hAnsi="仿宋_GB2312" w:eastAsia="仿宋_GB2312" w:cs="仿宋_GB2312"/>
          <w:kern w:val="0"/>
          <w:position w:val="-2"/>
          <w:sz w:val="32"/>
          <w:szCs w:val="32"/>
          <w:lang w:val="en-US" w:eastAsia="zh-CN"/>
        </w:rPr>
        <w:t>100</w:t>
      </w:r>
      <w:r>
        <w:rPr>
          <w:rFonts w:hint="eastAsia" w:ascii="仿宋_GB2312" w:hAnsi="仿宋_GB2312" w:eastAsia="仿宋_GB2312" w:cs="仿宋_GB2312"/>
          <w:kern w:val="0"/>
          <w:position w:val="-2"/>
          <w:sz w:val="32"/>
          <w:szCs w:val="32"/>
        </w:rPr>
        <w:t>%；</w:t>
      </w:r>
      <w:r>
        <w:rPr>
          <w:rFonts w:hint="eastAsia" w:ascii="仿宋_GB2312" w:hAnsi="仿宋_GB2312" w:eastAsia="仿宋_GB2312" w:cs="仿宋_GB2312"/>
          <w:kern w:val="0"/>
          <w:position w:val="-2"/>
          <w:sz w:val="32"/>
          <w:szCs w:val="32"/>
          <w:lang w:eastAsia="zh-CN"/>
        </w:rPr>
        <w:t>其中</w:t>
      </w:r>
      <w:r>
        <w:rPr>
          <w:rFonts w:hint="eastAsia" w:ascii="仿宋_GB2312" w:hAnsi="仿宋_GB2312" w:eastAsia="仿宋_GB2312" w:cs="仿宋_GB2312"/>
          <w:kern w:val="0"/>
          <w:position w:val="-2"/>
          <w:sz w:val="32"/>
          <w:szCs w:val="32"/>
          <w:lang w:val="en-US" w:eastAsia="zh-CN"/>
        </w:rPr>
        <w:t>，基本支出为1145.12万元，</w:t>
      </w:r>
      <w:r>
        <w:rPr>
          <w:rFonts w:hint="eastAsia" w:ascii="仿宋_GB2312" w:hAnsi="仿宋_GB2312" w:eastAsia="仿宋_GB2312" w:cs="仿宋_GB2312"/>
          <w:sz w:val="32"/>
          <w:szCs w:val="32"/>
          <w:lang w:val="en-US" w:eastAsia="zh-CN"/>
        </w:rPr>
        <w:t>分为人员经费支出为1125.73万元；公用经费支出为19.39万元；项目经费支出为323.41万元。无</w:t>
      </w:r>
      <w:r>
        <w:rPr>
          <w:rFonts w:hint="eastAsia" w:ascii="仿宋_GB2312" w:hAnsi="仿宋_GB2312" w:eastAsia="仿宋_GB2312" w:cs="仿宋_GB2312"/>
          <w:kern w:val="0"/>
          <w:position w:val="-2"/>
          <w:sz w:val="32"/>
          <w:szCs w:val="32"/>
        </w:rPr>
        <w:t>外交（类）支出</w:t>
      </w:r>
      <w:r>
        <w:rPr>
          <w:rFonts w:hint="eastAsia" w:ascii="仿宋_GB2312" w:hAnsi="仿宋_GB2312" w:eastAsia="仿宋_GB2312" w:cs="仿宋_GB2312"/>
          <w:kern w:val="0"/>
          <w:position w:val="-2"/>
          <w:sz w:val="32"/>
          <w:szCs w:val="32"/>
          <w:lang w:eastAsia="zh-CN"/>
        </w:rPr>
        <w:t>或其他支出。</w:t>
      </w:r>
    </w:p>
    <w:p w14:paraId="39EE76C0">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16" w:firstLineChars="200"/>
        <w:jc w:val="both"/>
        <w:textAlignment w:val="auto"/>
        <w:outlineLvl w:val="9"/>
        <w:rPr>
          <w:rFonts w:ascii="楷体_GB2312" w:eastAsia="楷体_GB2312"/>
          <w:b/>
          <w:bCs/>
          <w:szCs w:val="32"/>
        </w:rPr>
      </w:pPr>
      <w:r>
        <w:rPr>
          <w:rFonts w:hint="eastAsia" w:ascii="楷体_GB2312" w:eastAsia="楷体_GB2312"/>
          <w:b/>
          <w:bCs/>
          <w:szCs w:val="32"/>
        </w:rPr>
        <w:t>（</w:t>
      </w:r>
      <w:r>
        <w:rPr>
          <w:rFonts w:hint="eastAsia" w:ascii="楷体_GB2312" w:eastAsia="楷体_GB2312"/>
          <w:b/>
          <w:bCs/>
          <w:szCs w:val="32"/>
          <w:lang w:eastAsia="zh-CN"/>
        </w:rPr>
        <w:t>六</w:t>
      </w:r>
      <w:r>
        <w:rPr>
          <w:rFonts w:hint="eastAsia" w:ascii="楷体_GB2312" w:eastAsia="楷体_GB2312"/>
          <w:b/>
          <w:bCs/>
          <w:szCs w:val="32"/>
        </w:rPr>
        <w:t>）部门整体支出绩效目标</w:t>
      </w:r>
    </w:p>
    <w:p w14:paraId="201ED6A2">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Chars="200"/>
        <w:jc w:val="both"/>
        <w:textAlignment w:val="auto"/>
        <w:outlineLvl w:val="9"/>
        <w:rPr>
          <w:rFonts w:hint="eastAsia" w:ascii="仿宋_GB2312" w:hAnsi="仿宋_GB2312" w:eastAsia="仿宋_GB2312" w:cs="仿宋_GB2312"/>
          <w:color w:val="000000"/>
          <w:kern w:val="2"/>
          <w:sz w:val="32"/>
          <w:szCs w:val="32"/>
          <w:lang w:val="en-US" w:eastAsia="zh-CN" w:bidi="ar-SA"/>
        </w:rPr>
      </w:pPr>
      <w:bookmarkStart w:id="10" w:name="_Toc22180"/>
      <w:bookmarkStart w:id="11" w:name="_Toc4514_WPSOffice_Level1"/>
      <w:r>
        <w:rPr>
          <w:rFonts w:hint="eastAsia" w:ascii="仿宋_GB2312" w:hAnsi="仿宋_GB2312" w:eastAsia="仿宋_GB2312" w:cs="仿宋_GB2312"/>
          <w:color w:val="000000"/>
          <w:kern w:val="2"/>
          <w:sz w:val="32"/>
          <w:szCs w:val="32"/>
          <w:lang w:val="en-US" w:eastAsia="zh-CN" w:bidi="ar-SA"/>
        </w:rPr>
        <w:t>1.围绕核心职能，以提升财政资金使用效益</w:t>
      </w:r>
      <w:r>
        <w:rPr>
          <w:rFonts w:hint="eastAsia" w:ascii="仿宋_GB2312" w:hAnsi="仿宋_GB2312" w:cs="仿宋_GB2312"/>
          <w:color w:val="000000"/>
          <w:kern w:val="2"/>
          <w:sz w:val="32"/>
          <w:szCs w:val="32"/>
          <w:lang w:val="en-US" w:eastAsia="zh-CN" w:bidi="ar-SA"/>
        </w:rPr>
        <w:t>,</w:t>
      </w:r>
      <w:r>
        <w:rPr>
          <w:rFonts w:hint="eastAsia" w:ascii="仿宋_GB2312" w:hAnsi="仿宋_GB2312" w:eastAsia="仿宋_GB2312" w:cs="仿宋_GB2312"/>
          <w:color w:val="000000"/>
          <w:kern w:val="2"/>
          <w:sz w:val="32"/>
          <w:szCs w:val="32"/>
          <w:lang w:val="en-US" w:eastAsia="zh-CN" w:bidi="ar-SA"/>
        </w:rPr>
        <w:t>强化审计监督效</w:t>
      </w:r>
    </w:p>
    <w:p w14:paraId="6520BE04">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jc w:val="both"/>
        <w:textAlignment w:val="auto"/>
        <w:outlineLvl w:val="9"/>
        <w:rPr>
          <w:rFonts w:hint="eastAsia" w:ascii="仿宋_GB2312" w:hAnsi="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能为核心</w:t>
      </w:r>
      <w:r>
        <w:rPr>
          <w:rFonts w:hint="eastAsia" w:ascii="仿宋_GB2312" w:hAnsi="仿宋_GB2312" w:cs="仿宋_GB2312"/>
          <w:color w:val="000000"/>
          <w:kern w:val="2"/>
          <w:sz w:val="32"/>
          <w:szCs w:val="32"/>
          <w:lang w:val="en-US" w:eastAsia="zh-CN" w:bidi="ar-SA"/>
        </w:rPr>
        <w:t>，从产出、效能、满意度等维度设定的综合目标，旨在为经济社会健康发展提供保障。</w:t>
      </w:r>
    </w:p>
    <w:p w14:paraId="72677311">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firstLine="616" w:firstLineChars="200"/>
        <w:jc w:val="both"/>
        <w:textAlignment w:val="auto"/>
        <w:outlineLvl w:val="9"/>
        <w:rPr>
          <w:rFonts w:hint="default" w:ascii="仿宋_GB2312" w:hAnsi="仿宋_GB2312" w:cs="仿宋_GB2312"/>
          <w:color w:val="000000"/>
          <w:kern w:val="2"/>
          <w:sz w:val="32"/>
          <w:szCs w:val="32"/>
          <w:lang w:val="en-US" w:eastAsia="zh-CN" w:bidi="ar-SA"/>
        </w:rPr>
      </w:pPr>
      <w:r>
        <w:rPr>
          <w:rFonts w:hint="eastAsia" w:ascii="仿宋_GB2312" w:hAnsi="仿宋_GB2312" w:cs="仿宋_GB2312"/>
          <w:color w:val="000000"/>
          <w:kern w:val="2"/>
          <w:sz w:val="32"/>
          <w:szCs w:val="32"/>
          <w:lang w:val="en-US" w:eastAsia="zh-CN" w:bidi="ar-SA"/>
        </w:rPr>
        <w:t>2.坚持依法审计，聚焦财政资金真实合法效益主责主业开</w:t>
      </w:r>
    </w:p>
    <w:p w14:paraId="7984F434">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jc w:val="both"/>
        <w:textAlignment w:val="auto"/>
        <w:outlineLvl w:val="9"/>
        <w:rPr>
          <w:rFonts w:hint="default"/>
          <w:b/>
          <w:bCs/>
          <w:lang w:val="en-US" w:eastAsia="zh-CN"/>
        </w:rPr>
      </w:pPr>
      <w:r>
        <w:rPr>
          <w:rFonts w:hint="eastAsia" w:ascii="仿宋_GB2312" w:hAnsi="仿宋_GB2312" w:cs="仿宋_GB2312"/>
          <w:color w:val="000000"/>
          <w:kern w:val="2"/>
          <w:sz w:val="32"/>
          <w:szCs w:val="32"/>
          <w:lang w:val="en-US" w:eastAsia="zh-CN" w:bidi="ar-SA"/>
        </w:rPr>
        <w:t>展常态化“经济体检”,</w:t>
      </w:r>
      <w:r>
        <w:rPr>
          <w:rFonts w:hint="eastAsia" w:ascii="黑体" w:hAnsi="黑体" w:eastAsia="黑体" w:cs="黑体"/>
          <w:lang w:val="en-US" w:eastAsia="zh-CN"/>
        </w:rPr>
        <w:t xml:space="preserve"> </w:t>
      </w:r>
      <w:r>
        <w:rPr>
          <w:rFonts w:hint="eastAsia" w:ascii="仿宋_GB2312" w:hAnsi="仿宋_GB2312" w:cs="仿宋_GB2312"/>
          <w:color w:val="000000"/>
          <w:kern w:val="2"/>
          <w:sz w:val="32"/>
          <w:szCs w:val="32"/>
          <w:lang w:val="en-US" w:eastAsia="zh-CN" w:bidi="ar-SA"/>
        </w:rPr>
        <w:t>通过推动审计全覆盖、促进积极财政政策落地、规范公权力运行、提升政府投资效能、充分发挥审计在国家治理中的作用，助理区域经济社会高质量发展。</w:t>
      </w:r>
    </w:p>
    <w:p w14:paraId="73AF918F">
      <w:pPr>
        <w:keepNext w:val="0"/>
        <w:keepLines w:val="0"/>
        <w:pageBreakBefore w:val="0"/>
        <w:widowControl w:val="0"/>
        <w:numPr>
          <w:ilvl w:val="0"/>
          <w:numId w:val="2"/>
        </w:numPr>
        <w:kinsoku/>
        <w:wordWrap/>
        <w:overflowPunct/>
        <w:topLinePunct w:val="0"/>
        <w:autoSpaceDE/>
        <w:autoSpaceDN/>
        <w:bidi w:val="0"/>
        <w:adjustRightInd/>
        <w:spacing w:beforeAutospacing="0" w:afterAutospacing="0" w:line="576" w:lineRule="exact"/>
        <w:ind w:left="0" w:leftChars="0" w:firstLine="616" w:firstLineChars="200"/>
        <w:jc w:val="both"/>
        <w:textAlignment w:val="auto"/>
        <w:outlineLvl w:val="9"/>
        <w:rPr>
          <w:rFonts w:hint="eastAsia" w:ascii="黑体" w:hAnsi="黑体" w:eastAsia="黑体" w:cs="黑体"/>
        </w:rPr>
      </w:pPr>
      <w:r>
        <w:rPr>
          <w:rFonts w:hint="eastAsia" w:ascii="黑体" w:hAnsi="黑体" w:eastAsia="黑体" w:cs="黑体"/>
        </w:rPr>
        <w:t>绩效自评结论</w:t>
      </w:r>
      <w:bookmarkEnd w:id="10"/>
      <w:bookmarkEnd w:id="11"/>
    </w:p>
    <w:p w14:paraId="615BF457">
      <w:pPr>
        <w:pStyle w:val="11"/>
        <w:widowControl/>
        <w:shd w:val="clear" w:color="auto" w:fill="FFFFFF"/>
        <w:spacing w:beforeAutospacing="0" w:afterAutospacing="0" w:line="560" w:lineRule="atLeas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1.基本支出：</w:t>
      </w:r>
      <w:r>
        <w:rPr>
          <w:rFonts w:hint="eastAsia" w:ascii="仿宋_GB2312" w:hAnsi="仿宋_GB2312" w:eastAsia="仿宋_GB2312" w:cs="仿宋_GB2312"/>
          <w:color w:val="000000"/>
          <w:sz w:val="32"/>
          <w:szCs w:val="32"/>
          <w:shd w:val="clear" w:color="auto" w:fill="FFFFFF"/>
          <w:lang w:val="en-US" w:eastAsia="zh-CN"/>
        </w:rPr>
        <w:t>1145.12万</w:t>
      </w:r>
      <w:r>
        <w:rPr>
          <w:rFonts w:hint="eastAsia" w:ascii="仿宋_GB2312" w:hAnsi="仿宋_GB2312" w:eastAsia="仿宋_GB2312" w:cs="仿宋_GB2312"/>
          <w:color w:val="000000"/>
          <w:sz w:val="32"/>
          <w:szCs w:val="32"/>
          <w:shd w:val="clear" w:color="auto" w:fill="FFFFFF"/>
        </w:rPr>
        <w:t>元，其中人员支出</w:t>
      </w:r>
      <w:r>
        <w:rPr>
          <w:rFonts w:hint="eastAsia" w:ascii="仿宋_GB2312" w:hAnsi="仿宋_GB2312" w:eastAsia="仿宋_GB2312" w:cs="仿宋_GB2312"/>
          <w:color w:val="000000"/>
          <w:sz w:val="32"/>
          <w:szCs w:val="32"/>
          <w:shd w:val="clear" w:color="auto" w:fill="FFFFFF"/>
          <w:lang w:val="en-US" w:eastAsia="zh-CN"/>
        </w:rPr>
        <w:t>1085.84</w:t>
      </w:r>
      <w:r>
        <w:rPr>
          <w:rFonts w:hint="eastAsia" w:ascii="仿宋_GB2312" w:hAnsi="仿宋_GB2312" w:eastAsia="仿宋_GB2312" w:cs="仿宋_GB2312"/>
          <w:color w:val="000000"/>
          <w:sz w:val="32"/>
          <w:szCs w:val="32"/>
          <w:shd w:val="clear" w:color="auto" w:fill="FFFFFF"/>
        </w:rPr>
        <w:t>元，（包括工资</w:t>
      </w:r>
      <w:r>
        <w:rPr>
          <w:rFonts w:hint="eastAsia" w:ascii="仿宋_GB2312" w:hAnsi="仿宋_GB2312" w:eastAsia="仿宋_GB2312" w:cs="仿宋_GB2312"/>
          <w:color w:val="000000"/>
          <w:sz w:val="32"/>
          <w:szCs w:val="32"/>
          <w:shd w:val="clear" w:color="auto" w:fill="FFFFFF"/>
          <w:lang w:eastAsia="zh-CN"/>
        </w:rPr>
        <w:t>福利支出</w:t>
      </w:r>
      <w:r>
        <w:rPr>
          <w:rFonts w:hint="eastAsia" w:ascii="仿宋_GB2312" w:hAnsi="仿宋_GB2312" w:eastAsia="仿宋_GB2312" w:cs="仿宋_GB2312"/>
          <w:color w:val="000000"/>
          <w:sz w:val="32"/>
          <w:szCs w:val="32"/>
          <w:shd w:val="clear" w:color="auto" w:fill="FFFFFF"/>
          <w:lang w:val="en-US" w:eastAsia="zh-CN"/>
        </w:rPr>
        <w:t>697.08万</w:t>
      </w:r>
      <w:r>
        <w:rPr>
          <w:rFonts w:hint="eastAsia" w:ascii="仿宋_GB2312" w:hAnsi="仿宋_GB2312" w:eastAsia="仿宋_GB2312" w:cs="仿宋_GB2312"/>
          <w:color w:val="000000"/>
          <w:sz w:val="32"/>
          <w:szCs w:val="32"/>
          <w:shd w:val="clear" w:color="auto" w:fill="FFFFFF"/>
        </w:rPr>
        <w:t>元、奖金</w:t>
      </w:r>
      <w:r>
        <w:rPr>
          <w:rFonts w:hint="eastAsia" w:ascii="仿宋_GB2312" w:hAnsi="仿宋_GB2312" w:eastAsia="仿宋_GB2312" w:cs="仿宋_GB2312"/>
          <w:color w:val="000000"/>
          <w:sz w:val="32"/>
          <w:szCs w:val="32"/>
          <w:shd w:val="clear" w:color="auto" w:fill="FFFFFF"/>
          <w:lang w:val="en-US" w:eastAsia="zh-CN"/>
        </w:rPr>
        <w:t>55.83万</w:t>
      </w:r>
      <w:r>
        <w:rPr>
          <w:rFonts w:hint="eastAsia" w:ascii="仿宋_GB2312" w:hAnsi="仿宋_GB2312" w:eastAsia="仿宋_GB2312" w:cs="仿宋_GB2312"/>
          <w:color w:val="000000"/>
          <w:sz w:val="32"/>
          <w:szCs w:val="32"/>
          <w:shd w:val="clear" w:color="auto" w:fill="FFFFFF"/>
        </w:rPr>
        <w:t>元、伙食补助</w:t>
      </w:r>
      <w:r>
        <w:rPr>
          <w:rFonts w:hint="eastAsia" w:ascii="仿宋_GB2312" w:hAnsi="仿宋_GB2312" w:eastAsia="仿宋_GB2312" w:cs="仿宋_GB2312"/>
          <w:color w:val="000000"/>
          <w:sz w:val="32"/>
          <w:szCs w:val="32"/>
          <w:shd w:val="clear" w:color="auto" w:fill="FFFFFF"/>
          <w:lang w:val="en-US" w:eastAsia="zh-CN"/>
        </w:rPr>
        <w:t>25.92万</w:t>
      </w:r>
      <w:r>
        <w:rPr>
          <w:rFonts w:hint="eastAsia" w:ascii="仿宋_GB2312" w:hAnsi="仿宋_GB2312" w:eastAsia="仿宋_GB2312" w:cs="仿宋_GB2312"/>
          <w:color w:val="000000"/>
          <w:sz w:val="32"/>
          <w:szCs w:val="32"/>
          <w:shd w:val="clear" w:color="auto" w:fill="FFFFFF"/>
        </w:rPr>
        <w:t>元、机关事业单位养老保险</w:t>
      </w:r>
      <w:r>
        <w:rPr>
          <w:rFonts w:hint="eastAsia" w:ascii="仿宋_GB2312" w:hAnsi="仿宋_GB2312" w:eastAsia="仿宋_GB2312" w:cs="仿宋_GB2312"/>
          <w:color w:val="000000"/>
          <w:sz w:val="32"/>
          <w:szCs w:val="32"/>
          <w:shd w:val="clear" w:color="auto" w:fill="FFFFFF"/>
          <w:lang w:val="en-US" w:eastAsia="zh-CN"/>
        </w:rPr>
        <w:t>121.6万</w:t>
      </w:r>
      <w:r>
        <w:rPr>
          <w:rFonts w:hint="eastAsia" w:ascii="仿宋_GB2312" w:hAnsi="仿宋_GB2312" w:eastAsia="仿宋_GB2312" w:cs="仿宋_GB2312"/>
          <w:color w:val="000000"/>
          <w:sz w:val="32"/>
          <w:szCs w:val="32"/>
          <w:shd w:val="clear" w:color="auto" w:fill="FFFFFF"/>
        </w:rPr>
        <w:t>元、职工基本医疗保险</w:t>
      </w:r>
      <w:r>
        <w:rPr>
          <w:rFonts w:hint="eastAsia" w:ascii="仿宋_GB2312" w:hAnsi="仿宋_GB2312" w:eastAsia="仿宋_GB2312" w:cs="仿宋_GB2312"/>
          <w:color w:val="000000"/>
          <w:sz w:val="32"/>
          <w:szCs w:val="32"/>
          <w:shd w:val="clear" w:color="auto" w:fill="FFFFFF"/>
          <w:lang w:val="en-US" w:eastAsia="zh-CN"/>
        </w:rPr>
        <w:t>49.36万</w:t>
      </w:r>
      <w:r>
        <w:rPr>
          <w:rFonts w:hint="eastAsia" w:ascii="仿宋_GB2312" w:hAnsi="仿宋_GB2312" w:eastAsia="仿宋_GB2312" w:cs="仿宋_GB2312"/>
          <w:color w:val="000000"/>
          <w:sz w:val="32"/>
          <w:szCs w:val="32"/>
          <w:shd w:val="clear" w:color="auto" w:fill="FFFFFF"/>
        </w:rPr>
        <w:t>元、公务员医疗补助</w:t>
      </w:r>
      <w:r>
        <w:rPr>
          <w:rFonts w:hint="eastAsia" w:ascii="仿宋_GB2312" w:hAnsi="仿宋_GB2312" w:eastAsia="仿宋_GB2312" w:cs="仿宋_GB2312"/>
          <w:color w:val="000000"/>
          <w:sz w:val="32"/>
          <w:szCs w:val="32"/>
          <w:shd w:val="clear" w:color="auto" w:fill="FFFFFF"/>
          <w:lang w:val="en-US" w:eastAsia="zh-CN"/>
        </w:rPr>
        <w:t>13.37万</w:t>
      </w:r>
      <w:r>
        <w:rPr>
          <w:rFonts w:hint="eastAsia" w:ascii="仿宋_GB2312" w:hAnsi="仿宋_GB2312" w:eastAsia="仿宋_GB2312" w:cs="仿宋_GB2312"/>
          <w:color w:val="000000"/>
          <w:sz w:val="32"/>
          <w:szCs w:val="32"/>
          <w:shd w:val="clear" w:color="auto" w:fill="FFFFFF"/>
        </w:rPr>
        <w:t>元、其他社会保障缴费</w:t>
      </w:r>
      <w:r>
        <w:rPr>
          <w:rFonts w:hint="eastAsia" w:ascii="仿宋_GB2312" w:hAnsi="仿宋_GB2312" w:eastAsia="仿宋_GB2312" w:cs="仿宋_GB2312"/>
          <w:color w:val="000000"/>
          <w:sz w:val="32"/>
          <w:szCs w:val="32"/>
          <w:shd w:val="clear" w:color="auto" w:fill="FFFFFF"/>
          <w:lang w:val="en-US" w:eastAsia="zh-CN"/>
        </w:rPr>
        <w:t>1.19万</w:t>
      </w:r>
      <w:r>
        <w:rPr>
          <w:rFonts w:hint="eastAsia" w:ascii="仿宋_GB2312" w:hAnsi="仿宋_GB2312" w:eastAsia="仿宋_GB2312" w:cs="仿宋_GB2312"/>
          <w:color w:val="000000"/>
          <w:sz w:val="32"/>
          <w:szCs w:val="32"/>
          <w:shd w:val="clear" w:color="auto" w:fill="FFFFFF"/>
        </w:rPr>
        <w:t>元、住房公积金</w:t>
      </w:r>
      <w:r>
        <w:rPr>
          <w:rFonts w:hint="eastAsia" w:ascii="仿宋_GB2312" w:hAnsi="仿宋_GB2312" w:eastAsia="仿宋_GB2312" w:cs="仿宋_GB2312"/>
          <w:color w:val="000000"/>
          <w:sz w:val="32"/>
          <w:szCs w:val="32"/>
          <w:shd w:val="clear" w:color="auto" w:fill="FFFFFF"/>
          <w:lang w:val="en-US" w:eastAsia="zh-CN"/>
        </w:rPr>
        <w:t>84.4万</w:t>
      </w:r>
      <w:r>
        <w:rPr>
          <w:rFonts w:hint="eastAsia" w:ascii="仿宋_GB2312" w:hAnsi="仿宋_GB2312" w:eastAsia="仿宋_GB2312" w:cs="仿宋_GB2312"/>
          <w:color w:val="000000"/>
          <w:sz w:val="32"/>
          <w:szCs w:val="32"/>
          <w:shd w:val="clear" w:color="auto" w:fill="FFFFFF"/>
        </w:rPr>
        <w:t>元、其他工资福利支出</w:t>
      </w:r>
      <w:r>
        <w:rPr>
          <w:rFonts w:hint="eastAsia" w:ascii="仿宋_GB2312" w:hAnsi="仿宋_GB2312" w:eastAsia="仿宋_GB2312" w:cs="仿宋_GB2312"/>
          <w:color w:val="000000"/>
          <w:sz w:val="32"/>
          <w:szCs w:val="32"/>
          <w:shd w:val="clear" w:color="auto" w:fill="FFFFFF"/>
          <w:lang w:val="en-US" w:eastAsia="zh-CN"/>
        </w:rPr>
        <w:t>37.07万</w:t>
      </w:r>
      <w:r>
        <w:rPr>
          <w:rFonts w:hint="eastAsia" w:ascii="仿宋_GB2312" w:hAnsi="仿宋_GB2312" w:eastAsia="仿宋_GB2312" w:cs="仿宋_GB2312"/>
          <w:color w:val="000000"/>
          <w:sz w:val="32"/>
          <w:szCs w:val="32"/>
          <w:shd w:val="clear" w:color="auto" w:fill="FFFFFF"/>
        </w:rPr>
        <w:t>元）。对个人和家庭的补助为</w:t>
      </w:r>
      <w:r>
        <w:rPr>
          <w:rFonts w:hint="eastAsia" w:ascii="仿宋_GB2312" w:hAnsi="仿宋_GB2312" w:eastAsia="仿宋_GB2312" w:cs="仿宋_GB2312"/>
          <w:color w:val="000000"/>
          <w:sz w:val="32"/>
          <w:szCs w:val="32"/>
          <w:shd w:val="clear" w:color="auto" w:fill="FFFFFF"/>
          <w:lang w:val="en-US" w:eastAsia="zh-CN"/>
        </w:rPr>
        <w:t>10.09万</w:t>
      </w:r>
      <w:r>
        <w:rPr>
          <w:rFonts w:hint="eastAsia" w:ascii="仿宋_GB2312" w:hAnsi="仿宋_GB2312" w:eastAsia="仿宋_GB2312" w:cs="仿宋_GB2312"/>
          <w:color w:val="000000"/>
          <w:sz w:val="32"/>
          <w:szCs w:val="32"/>
          <w:shd w:val="clear" w:color="auto" w:fill="FFFFFF"/>
        </w:rPr>
        <w:t>元。</w:t>
      </w:r>
    </w:p>
    <w:p w14:paraId="1B68A9F3">
      <w:pPr>
        <w:pStyle w:val="11"/>
        <w:widowControl/>
        <w:shd w:val="clear" w:color="auto" w:fill="FFFFFF"/>
        <w:spacing w:beforeAutospacing="0" w:afterAutospacing="0" w:line="56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（二）商品和服务支出</w:t>
      </w:r>
      <w:r>
        <w:rPr>
          <w:rFonts w:hint="eastAsia" w:ascii="仿宋_GB2312" w:hAnsi="仿宋_GB2312" w:eastAsia="仿宋_GB2312" w:cs="仿宋_GB2312"/>
          <w:color w:val="000000"/>
          <w:sz w:val="32"/>
          <w:szCs w:val="32"/>
          <w:shd w:val="clear" w:color="auto" w:fill="FFFFFF"/>
          <w:lang w:val="en-US" w:eastAsia="zh-CN"/>
        </w:rPr>
        <w:t>49.19万</w:t>
      </w:r>
      <w:r>
        <w:rPr>
          <w:rFonts w:hint="eastAsia" w:ascii="仿宋_GB2312" w:hAnsi="仿宋_GB2312" w:eastAsia="仿宋_GB2312" w:cs="仿宋_GB2312"/>
          <w:color w:val="000000"/>
          <w:sz w:val="32"/>
          <w:szCs w:val="32"/>
          <w:shd w:val="clear" w:color="auto" w:fill="FFFFFF"/>
        </w:rPr>
        <w:t>元，包括办公费</w:t>
      </w:r>
      <w:r>
        <w:rPr>
          <w:rFonts w:hint="eastAsia" w:ascii="仿宋_GB2312" w:hAnsi="仿宋_GB2312" w:eastAsia="仿宋_GB2312" w:cs="仿宋_GB2312"/>
          <w:color w:val="000000"/>
          <w:sz w:val="32"/>
          <w:szCs w:val="32"/>
          <w:shd w:val="clear" w:color="auto" w:fill="FFFFFF"/>
          <w:lang w:val="en-US" w:eastAsia="zh-CN"/>
        </w:rPr>
        <w:t>5.56万</w:t>
      </w:r>
      <w:r>
        <w:rPr>
          <w:rFonts w:hint="eastAsia" w:ascii="仿宋_GB2312" w:hAnsi="仿宋_GB2312" w:eastAsia="仿宋_GB2312" w:cs="仿宋_GB2312"/>
          <w:color w:val="000000"/>
          <w:sz w:val="32"/>
          <w:szCs w:val="32"/>
          <w:shd w:val="clear" w:color="auto" w:fill="FFFFFF"/>
        </w:rPr>
        <w:t>元、印刷费</w:t>
      </w:r>
      <w:r>
        <w:rPr>
          <w:rFonts w:hint="eastAsia" w:ascii="仿宋_GB2312" w:hAnsi="仿宋_GB2312" w:eastAsia="仿宋_GB2312" w:cs="仿宋_GB2312"/>
          <w:color w:val="000000"/>
          <w:sz w:val="32"/>
          <w:szCs w:val="32"/>
          <w:shd w:val="clear" w:color="auto" w:fill="FFFFFF"/>
          <w:lang w:val="en-US" w:eastAsia="zh-CN"/>
        </w:rPr>
        <w:t>0.37万</w:t>
      </w:r>
      <w:r>
        <w:rPr>
          <w:rFonts w:hint="eastAsia" w:ascii="仿宋_GB2312" w:hAnsi="仿宋_GB2312" w:eastAsia="仿宋_GB2312" w:cs="仿宋_GB2312"/>
          <w:color w:val="000000"/>
          <w:sz w:val="32"/>
          <w:szCs w:val="32"/>
          <w:shd w:val="clear" w:color="auto" w:fill="FFFFFF"/>
        </w:rPr>
        <w:t>元、电费</w:t>
      </w:r>
      <w:r>
        <w:rPr>
          <w:rFonts w:hint="eastAsia" w:ascii="仿宋_GB2312" w:hAnsi="仿宋_GB2312" w:eastAsia="仿宋_GB2312" w:cs="仿宋_GB2312"/>
          <w:color w:val="000000"/>
          <w:sz w:val="32"/>
          <w:szCs w:val="32"/>
          <w:shd w:val="clear" w:color="auto" w:fill="FFFFFF"/>
          <w:lang w:val="en-US" w:eastAsia="zh-CN"/>
        </w:rPr>
        <w:t>5.81万</w:t>
      </w:r>
      <w:r>
        <w:rPr>
          <w:rFonts w:hint="eastAsia" w:ascii="仿宋_GB2312" w:hAnsi="仿宋_GB2312" w:eastAsia="仿宋_GB2312" w:cs="仿宋_GB2312"/>
          <w:color w:val="000000"/>
          <w:sz w:val="32"/>
          <w:szCs w:val="32"/>
          <w:shd w:val="clear" w:color="auto" w:fill="FFFFFF"/>
        </w:rPr>
        <w:t>元、邮电费</w:t>
      </w:r>
      <w:r>
        <w:rPr>
          <w:rFonts w:hint="eastAsia" w:ascii="仿宋_GB2312" w:hAnsi="仿宋_GB2312" w:eastAsia="仿宋_GB2312" w:cs="仿宋_GB2312"/>
          <w:color w:val="000000"/>
          <w:sz w:val="32"/>
          <w:szCs w:val="32"/>
          <w:shd w:val="clear" w:color="auto" w:fill="FFFFFF"/>
          <w:lang w:val="en-US" w:eastAsia="zh-CN"/>
        </w:rPr>
        <w:t>0</w:t>
      </w:r>
      <w:r>
        <w:rPr>
          <w:rFonts w:hint="eastAsia" w:ascii="仿宋_GB2312" w:hAnsi="仿宋_GB2312" w:eastAsia="仿宋_GB2312" w:cs="仿宋_GB2312"/>
          <w:color w:val="000000"/>
          <w:sz w:val="32"/>
          <w:szCs w:val="32"/>
          <w:shd w:val="clear" w:color="auto" w:fill="FFFFFF"/>
        </w:rPr>
        <w:t>元、差旅费</w:t>
      </w:r>
      <w:r>
        <w:rPr>
          <w:rFonts w:hint="eastAsia" w:ascii="仿宋_GB2312" w:hAnsi="仿宋_GB2312" w:eastAsia="仿宋_GB2312" w:cs="仿宋_GB2312"/>
          <w:color w:val="000000"/>
          <w:sz w:val="32"/>
          <w:szCs w:val="32"/>
          <w:shd w:val="clear" w:color="auto" w:fill="FFFFFF"/>
          <w:lang w:val="en-US" w:eastAsia="zh-CN"/>
        </w:rPr>
        <w:t>4.5万</w:t>
      </w:r>
      <w:r>
        <w:rPr>
          <w:rFonts w:hint="eastAsia" w:ascii="仿宋_GB2312" w:hAnsi="仿宋_GB2312" w:eastAsia="仿宋_GB2312" w:cs="仿宋_GB2312"/>
          <w:color w:val="000000"/>
          <w:sz w:val="32"/>
          <w:szCs w:val="32"/>
          <w:shd w:val="clear" w:color="auto" w:fill="FFFFFF"/>
        </w:rPr>
        <w:t>元、培训费</w:t>
      </w:r>
      <w:r>
        <w:rPr>
          <w:rFonts w:hint="eastAsia" w:ascii="仿宋_GB2312" w:hAnsi="仿宋_GB2312" w:eastAsia="仿宋_GB2312" w:cs="仿宋_GB2312"/>
          <w:color w:val="000000"/>
          <w:sz w:val="32"/>
          <w:szCs w:val="32"/>
          <w:shd w:val="clear" w:color="auto" w:fill="FFFFFF"/>
          <w:lang w:val="en-US" w:eastAsia="zh-CN"/>
        </w:rPr>
        <w:t>0</w:t>
      </w:r>
      <w:r>
        <w:rPr>
          <w:rFonts w:hint="eastAsia" w:ascii="仿宋_GB2312" w:hAnsi="仿宋_GB2312" w:eastAsia="仿宋_GB2312" w:cs="仿宋_GB2312"/>
          <w:color w:val="000000"/>
          <w:sz w:val="32"/>
          <w:szCs w:val="32"/>
          <w:shd w:val="clear" w:color="auto" w:fill="FFFFFF"/>
        </w:rPr>
        <w:t>元，委托业务费</w:t>
      </w:r>
      <w:r>
        <w:rPr>
          <w:rFonts w:hint="eastAsia" w:ascii="仿宋_GB2312" w:hAnsi="仿宋_GB2312" w:eastAsia="仿宋_GB2312" w:cs="仿宋_GB2312"/>
          <w:color w:val="000000"/>
          <w:sz w:val="32"/>
          <w:szCs w:val="32"/>
          <w:shd w:val="clear" w:color="auto" w:fill="FFFFFF"/>
          <w:lang w:val="en-US" w:eastAsia="zh-CN"/>
        </w:rPr>
        <w:t>0</w:t>
      </w:r>
      <w:r>
        <w:rPr>
          <w:rFonts w:hint="eastAsia" w:ascii="仿宋_GB2312" w:hAnsi="仿宋_GB2312" w:eastAsia="仿宋_GB2312" w:cs="仿宋_GB2312"/>
          <w:color w:val="000000"/>
          <w:sz w:val="32"/>
          <w:szCs w:val="32"/>
          <w:shd w:val="clear" w:color="auto" w:fill="FFFFFF"/>
        </w:rPr>
        <w:t>元、租赁费0万元、公务接待费</w:t>
      </w:r>
      <w:r>
        <w:rPr>
          <w:rFonts w:hint="eastAsia" w:ascii="仿宋_GB2312" w:hAnsi="仿宋_GB2312" w:eastAsia="仿宋_GB2312" w:cs="仿宋_GB2312"/>
          <w:color w:val="000000"/>
          <w:sz w:val="32"/>
          <w:szCs w:val="32"/>
          <w:shd w:val="clear" w:color="auto" w:fill="FFFFFF"/>
          <w:lang w:val="en-US" w:eastAsia="zh-CN"/>
        </w:rPr>
        <w:t>0.09万</w:t>
      </w:r>
      <w:r>
        <w:rPr>
          <w:rFonts w:hint="eastAsia" w:ascii="仿宋_GB2312" w:hAnsi="仿宋_GB2312" w:eastAsia="仿宋_GB2312" w:cs="仿宋_GB2312"/>
          <w:color w:val="000000"/>
          <w:sz w:val="32"/>
          <w:szCs w:val="32"/>
          <w:shd w:val="clear" w:color="auto" w:fill="FFFFFF"/>
        </w:rPr>
        <w:t>元、工会经费</w:t>
      </w:r>
      <w:r>
        <w:rPr>
          <w:rFonts w:hint="eastAsia" w:ascii="仿宋_GB2312" w:hAnsi="仿宋_GB2312" w:eastAsia="仿宋_GB2312" w:cs="仿宋_GB2312"/>
          <w:color w:val="000000"/>
          <w:sz w:val="32"/>
          <w:szCs w:val="32"/>
          <w:shd w:val="clear" w:color="auto" w:fill="FFFFFF"/>
          <w:lang w:val="en-US" w:eastAsia="zh-CN"/>
        </w:rPr>
        <w:t>15.42万</w:t>
      </w:r>
      <w:r>
        <w:rPr>
          <w:rFonts w:hint="eastAsia" w:ascii="仿宋_GB2312" w:hAnsi="仿宋_GB2312" w:eastAsia="仿宋_GB2312" w:cs="仿宋_GB2312"/>
          <w:color w:val="000000"/>
          <w:sz w:val="32"/>
          <w:szCs w:val="32"/>
          <w:shd w:val="clear" w:color="auto" w:fill="FFFFFF"/>
        </w:rPr>
        <w:t>元、公务车辆运行维护费</w:t>
      </w:r>
      <w:r>
        <w:rPr>
          <w:rFonts w:hint="eastAsia" w:ascii="仿宋_GB2312" w:hAnsi="仿宋_GB2312" w:eastAsia="仿宋_GB2312" w:cs="仿宋_GB2312"/>
          <w:color w:val="000000"/>
          <w:sz w:val="32"/>
          <w:szCs w:val="32"/>
          <w:shd w:val="clear" w:color="auto" w:fill="FFFFFF"/>
          <w:lang w:val="en-US" w:eastAsia="zh-CN"/>
        </w:rPr>
        <w:t>2.47万</w:t>
      </w:r>
      <w:r>
        <w:rPr>
          <w:rFonts w:hint="eastAsia" w:ascii="仿宋_GB2312" w:hAnsi="仿宋_GB2312" w:eastAsia="仿宋_GB2312" w:cs="仿宋_GB2312"/>
          <w:color w:val="000000"/>
          <w:sz w:val="32"/>
          <w:szCs w:val="32"/>
          <w:shd w:val="clear" w:color="auto" w:fill="FFFFFF"/>
        </w:rPr>
        <w:t>元、福利费</w:t>
      </w:r>
      <w:r>
        <w:rPr>
          <w:rFonts w:hint="eastAsia" w:ascii="仿宋_GB2312" w:hAnsi="仿宋_GB2312" w:eastAsia="仿宋_GB2312" w:cs="仿宋_GB2312"/>
          <w:color w:val="000000"/>
          <w:sz w:val="32"/>
          <w:szCs w:val="32"/>
          <w:shd w:val="clear" w:color="auto" w:fill="FFFFFF"/>
          <w:lang w:val="en-US" w:eastAsia="zh-CN"/>
        </w:rPr>
        <w:t>0.15万</w:t>
      </w:r>
      <w:r>
        <w:rPr>
          <w:rFonts w:hint="eastAsia" w:ascii="仿宋_GB2312" w:hAnsi="仿宋_GB2312" w:eastAsia="仿宋_GB2312" w:cs="仿宋_GB2312"/>
          <w:color w:val="000000"/>
          <w:sz w:val="32"/>
          <w:szCs w:val="32"/>
          <w:shd w:val="clear" w:color="auto" w:fill="FFFFFF"/>
        </w:rPr>
        <w:t>元，其他交通费</w:t>
      </w:r>
      <w:r>
        <w:rPr>
          <w:rFonts w:hint="eastAsia" w:ascii="仿宋_GB2312" w:hAnsi="仿宋_GB2312" w:eastAsia="仿宋_GB2312" w:cs="仿宋_GB2312"/>
          <w:color w:val="000000"/>
          <w:sz w:val="32"/>
          <w:szCs w:val="32"/>
          <w:shd w:val="clear" w:color="auto" w:fill="FFFFFF"/>
          <w:lang w:val="en-US" w:eastAsia="zh-CN"/>
        </w:rPr>
        <w:t>0</w:t>
      </w:r>
      <w:r>
        <w:rPr>
          <w:rFonts w:hint="eastAsia" w:ascii="仿宋_GB2312" w:hAnsi="仿宋_GB2312" w:eastAsia="仿宋_GB2312" w:cs="仿宋_GB2312"/>
          <w:color w:val="000000"/>
          <w:sz w:val="32"/>
          <w:szCs w:val="32"/>
          <w:shd w:val="clear" w:color="auto" w:fill="FFFFFF"/>
        </w:rPr>
        <w:t>元，其他商品和服务支出</w:t>
      </w:r>
      <w:r>
        <w:rPr>
          <w:rFonts w:hint="eastAsia" w:ascii="仿宋_GB2312" w:hAnsi="仿宋_GB2312" w:eastAsia="仿宋_GB2312" w:cs="仿宋_GB2312"/>
          <w:color w:val="000000"/>
          <w:sz w:val="32"/>
          <w:szCs w:val="32"/>
          <w:shd w:val="clear" w:color="auto" w:fill="FFFFFF"/>
          <w:lang w:val="en-US" w:eastAsia="zh-CN"/>
        </w:rPr>
        <w:t>14.83万</w:t>
      </w:r>
      <w:r>
        <w:rPr>
          <w:rFonts w:hint="eastAsia" w:ascii="仿宋_GB2312" w:hAnsi="仿宋_GB2312" w:eastAsia="仿宋_GB2312" w:cs="仿宋_GB2312"/>
          <w:color w:val="000000"/>
          <w:sz w:val="32"/>
          <w:szCs w:val="32"/>
          <w:shd w:val="clear" w:color="auto" w:fill="FFFFFF"/>
        </w:rPr>
        <w:t>元。办公设备购置费</w:t>
      </w:r>
      <w:r>
        <w:rPr>
          <w:rFonts w:hint="eastAsia" w:ascii="仿宋_GB2312" w:hAnsi="仿宋_GB2312" w:eastAsia="仿宋_GB2312" w:cs="仿宋_GB2312"/>
          <w:color w:val="000000"/>
          <w:sz w:val="32"/>
          <w:szCs w:val="32"/>
          <w:shd w:val="clear" w:color="auto" w:fill="FFFFFF"/>
          <w:lang w:val="en-US" w:eastAsia="zh-CN"/>
        </w:rPr>
        <w:t>0</w:t>
      </w:r>
      <w:r>
        <w:rPr>
          <w:rFonts w:hint="eastAsia" w:ascii="仿宋_GB2312" w:hAnsi="仿宋_GB2312" w:eastAsia="仿宋_GB2312" w:cs="仿宋_GB2312"/>
          <w:color w:val="000000"/>
          <w:sz w:val="32"/>
          <w:szCs w:val="32"/>
          <w:shd w:val="clear" w:color="auto" w:fill="FFFFFF"/>
        </w:rPr>
        <w:t>元。</w:t>
      </w:r>
    </w:p>
    <w:p w14:paraId="057964AD">
      <w:pPr>
        <w:pStyle w:val="11"/>
        <w:widowControl/>
        <w:shd w:val="clear" w:color="auto" w:fill="FFFFFF"/>
        <w:spacing w:beforeAutospacing="0" w:afterAutospacing="0" w:line="560" w:lineRule="atLeast"/>
        <w:ind w:firstLine="640"/>
        <w:rPr>
          <w:rFonts w:hint="default"/>
          <w:color w:val="auto"/>
          <w:lang w:val="en-US" w:eastAsia="zh-CN"/>
        </w:rPr>
      </w:pPr>
      <w:r>
        <w:rPr>
          <w:rFonts w:hint="eastAsia" w:ascii="仿宋_GB2312" w:hAnsi="仿宋_GB2312" w:eastAsia="仿宋_GB2312" w:cs="仿宋_GB2312"/>
          <w:sz w:val="32"/>
          <w:szCs w:val="32"/>
          <w:shd w:val="clear" w:color="auto" w:fill="FFFFFF"/>
        </w:rPr>
        <w:t>项目经费支出</w:t>
      </w:r>
      <w:r>
        <w:rPr>
          <w:rFonts w:hint="eastAsia" w:ascii="仿宋_GB2312" w:hAnsi="仿宋_GB2312" w:eastAsia="仿宋_GB2312" w:cs="仿宋_GB2312"/>
          <w:sz w:val="32"/>
          <w:szCs w:val="32"/>
          <w:shd w:val="clear" w:color="auto" w:fill="FFFFFF"/>
          <w:lang w:val="en-US" w:eastAsia="zh-CN"/>
        </w:rPr>
        <w:t>323.41万</w:t>
      </w:r>
      <w:r>
        <w:rPr>
          <w:rFonts w:hint="eastAsia" w:ascii="仿宋_GB2312" w:hAnsi="仿宋_GB2312" w:eastAsia="仿宋_GB2312" w:cs="仿宋_GB2312"/>
          <w:sz w:val="32"/>
          <w:szCs w:val="32"/>
          <w:shd w:val="clear" w:color="auto" w:fill="FFFFFF"/>
        </w:rPr>
        <w:t>元，主要分为机关服务支出为</w:t>
      </w:r>
      <w:r>
        <w:rPr>
          <w:rFonts w:hint="eastAsia" w:ascii="仿宋_GB2312" w:hAnsi="仿宋_GB2312" w:eastAsia="仿宋_GB2312" w:cs="仿宋_GB2312"/>
          <w:sz w:val="32"/>
          <w:szCs w:val="32"/>
          <w:shd w:val="clear" w:color="auto" w:fill="FFFFFF"/>
          <w:lang w:val="en-US" w:eastAsia="zh-CN"/>
        </w:rPr>
        <w:t>10.27万</w:t>
      </w:r>
      <w:r>
        <w:rPr>
          <w:rFonts w:hint="eastAsia" w:ascii="仿宋_GB2312" w:hAnsi="仿宋_GB2312" w:eastAsia="仿宋_GB2312" w:cs="仿宋_GB2312"/>
          <w:sz w:val="32"/>
          <w:szCs w:val="32"/>
          <w:shd w:val="clear" w:color="auto" w:fill="FFFFFF"/>
        </w:rPr>
        <w:t>元，用于党建党内订购资料及党支部活动经费；信息化运行维护经费</w:t>
      </w:r>
      <w:r>
        <w:rPr>
          <w:rFonts w:hint="eastAsia" w:ascii="仿宋_GB2312" w:hAnsi="仿宋_GB2312" w:eastAsia="仿宋_GB2312" w:cs="仿宋_GB2312"/>
          <w:sz w:val="32"/>
          <w:szCs w:val="32"/>
          <w:shd w:val="clear" w:color="auto" w:fill="FFFFFF"/>
          <w:lang w:val="en-US" w:eastAsia="zh-CN"/>
        </w:rPr>
        <w:t>7.86万</w:t>
      </w:r>
      <w:r>
        <w:rPr>
          <w:rFonts w:hint="eastAsia" w:ascii="仿宋_GB2312" w:hAnsi="仿宋_GB2312" w:eastAsia="仿宋_GB2312" w:cs="仿宋_GB2312"/>
          <w:sz w:val="32"/>
          <w:szCs w:val="32"/>
          <w:shd w:val="clear" w:color="auto" w:fill="FFFFFF"/>
        </w:rPr>
        <w:t>元主要用于我</w:t>
      </w:r>
      <w:r>
        <w:rPr>
          <w:rFonts w:hint="eastAsia" w:ascii="仿宋_GB2312" w:hAnsi="仿宋_GB2312" w:eastAsia="仿宋_GB2312" w:cs="仿宋_GB2312"/>
          <w:sz w:val="32"/>
          <w:szCs w:val="32"/>
          <w:shd w:val="clear" w:color="auto" w:fill="FFFFFF"/>
          <w:lang w:eastAsia="zh-CN"/>
        </w:rPr>
        <w:t>局</w:t>
      </w:r>
      <w:r>
        <w:rPr>
          <w:rFonts w:hint="eastAsia" w:ascii="仿宋_GB2312" w:hAnsi="仿宋_GB2312" w:eastAsia="仿宋_GB2312" w:cs="仿宋_GB2312"/>
          <w:sz w:val="32"/>
          <w:szCs w:val="32"/>
          <w:shd w:val="clear" w:color="auto" w:fill="FFFFFF"/>
        </w:rPr>
        <w:t>互联网使用费及金审三期机房维护维修费用的支出；审计业务经费支出为</w:t>
      </w:r>
      <w:r>
        <w:rPr>
          <w:rFonts w:hint="eastAsia" w:ascii="仿宋_GB2312" w:hAnsi="仿宋_GB2312" w:eastAsia="仿宋_GB2312" w:cs="仿宋_GB2312"/>
          <w:sz w:val="32"/>
          <w:szCs w:val="32"/>
          <w:shd w:val="clear" w:color="auto" w:fill="FFFFFF"/>
          <w:lang w:val="en-US" w:eastAsia="zh-CN"/>
        </w:rPr>
        <w:t>305.28万</w:t>
      </w:r>
      <w:r>
        <w:rPr>
          <w:rFonts w:hint="eastAsia" w:ascii="仿宋_GB2312" w:hAnsi="仿宋_GB2312" w:eastAsia="仿宋_GB2312" w:cs="仿宋_GB2312"/>
          <w:sz w:val="32"/>
          <w:szCs w:val="32"/>
          <w:shd w:val="clear" w:color="auto" w:fill="FFFFFF"/>
        </w:rPr>
        <w:t>元，主要聘请第三方审计项目委托业务费、日常审计项目差旅费、业务培训费等支出。</w:t>
      </w:r>
      <w:r>
        <w:rPr>
          <w:rFonts w:hint="eastAsia" w:ascii="仿宋_GB2312" w:hAnsi="仿宋_GB2312" w:eastAsia="仿宋_GB2312" w:cs="仿宋_GB2312"/>
          <w:sz w:val="32"/>
          <w:szCs w:val="32"/>
          <w:shd w:val="clear" w:color="auto" w:fill="FFFFFF"/>
          <w:lang w:eastAsia="zh-CN"/>
        </w:rPr>
        <w:t>项目经费年末无结转结余。</w:t>
      </w:r>
      <w:r>
        <w:rPr>
          <w:rFonts w:hint="eastAsia" w:ascii="仿宋_GB2312" w:hAnsi="仿宋_GB2312" w:eastAsia="仿宋_GB2312" w:cs="仿宋_GB2312"/>
          <w:color w:val="auto"/>
          <w:sz w:val="32"/>
          <w:szCs w:val="32"/>
          <w:lang w:val="en-US" w:eastAsia="zh-CN"/>
        </w:rPr>
        <w:t>通过严格审批、节能降耗等措施，合理控制支出。2024年，</w:t>
      </w:r>
      <w:r>
        <w:rPr>
          <w:rFonts w:hint="eastAsia" w:ascii="仿宋_GB2312" w:hAnsi="仿宋_GB2312" w:cs="仿宋_GB2312"/>
          <w:color w:val="auto"/>
          <w:sz w:val="32"/>
          <w:szCs w:val="32"/>
          <w:lang w:val="en-US" w:eastAsia="zh-CN"/>
        </w:rPr>
        <w:t>审计局</w:t>
      </w:r>
      <w:r>
        <w:rPr>
          <w:rFonts w:hint="eastAsia" w:ascii="仿宋_GB2312" w:hAnsi="仿宋_GB2312" w:eastAsia="仿宋_GB2312" w:cs="仿宋_GB2312"/>
          <w:color w:val="auto"/>
          <w:sz w:val="32"/>
          <w:szCs w:val="32"/>
          <w:lang w:val="en-US" w:eastAsia="zh-CN"/>
        </w:rPr>
        <w:t>整体支出目标基本完成，在履行职责方面体现了一定的经济性、效率性、效果性和公平性。经自评，部门整体支出评价得分为98分，评价等级为“优”在资金使用上，严格遵守财经法规，确保资金安全规范，审计项目实施高效，按时完成年度计划任务，审计成果显著，促进了大量问题整改和制度完善。但在预算编制精准度和部分项目执行进度方面仍有提升空间。</w:t>
      </w:r>
    </w:p>
    <w:p w14:paraId="6297816F">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16" w:firstLineChars="200"/>
        <w:jc w:val="both"/>
        <w:textAlignment w:val="auto"/>
        <w:outlineLvl w:val="9"/>
        <w:rPr>
          <w:rFonts w:hint="eastAsia" w:ascii="黑体" w:hAnsi="黑体" w:eastAsia="黑体" w:cs="黑体"/>
          <w:color w:val="auto"/>
          <w:highlight w:val="none"/>
        </w:rPr>
      </w:pPr>
      <w:bookmarkStart w:id="12" w:name="_Toc2998_WPSOffice_Level1"/>
      <w:bookmarkStart w:id="13" w:name="_Toc2072"/>
      <w:r>
        <w:rPr>
          <w:rFonts w:hint="eastAsia" w:ascii="黑体" w:hAnsi="黑体" w:eastAsia="黑体" w:cs="黑体"/>
          <w:color w:val="auto"/>
          <w:highlight w:val="none"/>
        </w:rPr>
        <w:t>三、绩效自评分析</w:t>
      </w:r>
      <w:bookmarkEnd w:id="12"/>
      <w:bookmarkEnd w:id="13"/>
    </w:p>
    <w:p w14:paraId="0EA5FD60">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16" w:firstLineChars="200"/>
        <w:jc w:val="both"/>
        <w:textAlignment w:val="auto"/>
        <w:outlineLvl w:val="9"/>
        <w:rPr>
          <w:rFonts w:hint="eastAsia" w:ascii="楷体_GB2312" w:eastAsia="楷体_GB2312"/>
          <w:b w:val="0"/>
          <w:bCs w:val="0"/>
          <w:szCs w:val="32"/>
          <w:lang w:eastAsia="zh-CN"/>
        </w:rPr>
      </w:pPr>
      <w:bookmarkStart w:id="14" w:name="_Toc27392_WPSOffice_Level2"/>
      <w:bookmarkStart w:id="15" w:name="_Toc26765_WPSOffice_Level3"/>
      <w:bookmarkStart w:id="16" w:name="_Toc22677"/>
      <w:bookmarkStart w:id="17" w:name="_Toc19924"/>
      <w:r>
        <w:rPr>
          <w:rFonts w:hint="eastAsia" w:ascii="楷体_GB2312" w:eastAsia="楷体_GB2312"/>
          <w:b w:val="0"/>
          <w:bCs w:val="0"/>
          <w:szCs w:val="32"/>
        </w:rPr>
        <w:t>（一）</w:t>
      </w:r>
      <w:bookmarkEnd w:id="14"/>
      <w:bookmarkEnd w:id="15"/>
      <w:bookmarkEnd w:id="16"/>
      <w:bookmarkEnd w:id="17"/>
      <w:r>
        <w:rPr>
          <w:rFonts w:hint="eastAsia" w:ascii="楷体_GB2312" w:eastAsia="楷体_GB2312"/>
          <w:b w:val="0"/>
          <w:bCs w:val="0"/>
          <w:szCs w:val="32"/>
          <w:lang w:eastAsia="zh-CN"/>
        </w:rPr>
        <w:t>履职效能</w:t>
      </w:r>
    </w:p>
    <w:p w14:paraId="7DE812D1">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16" w:firstLineChars="200"/>
        <w:jc w:val="both"/>
        <w:textAlignment w:val="auto"/>
        <w:outlineLvl w:val="9"/>
        <w:rPr>
          <w:rFonts w:hint="eastAsia" w:ascii="仿宋_GB2312" w:hAnsi="仿宋_GB2312" w:eastAsia="仿宋_GB2312" w:cs="仿宋_GB2312"/>
          <w:b/>
          <w:bCs/>
          <w:szCs w:val="32"/>
          <w:lang w:eastAsia="zh-CN"/>
        </w:rPr>
      </w:pPr>
      <w:bookmarkStart w:id="18" w:name="_Toc4521"/>
      <w:r>
        <w:rPr>
          <w:rFonts w:hint="eastAsia" w:ascii="仿宋_GB2312" w:hAnsi="仿宋_GB2312" w:eastAsia="仿宋_GB2312" w:cs="仿宋_GB2312"/>
          <w:b/>
          <w:bCs/>
          <w:szCs w:val="32"/>
        </w:rPr>
        <w:t>1.</w:t>
      </w:r>
      <w:bookmarkEnd w:id="18"/>
      <w:r>
        <w:rPr>
          <w:rFonts w:hint="eastAsia" w:ascii="仿宋_GB2312" w:hAnsi="仿宋_GB2312" w:eastAsia="仿宋_GB2312" w:cs="仿宋_GB2312"/>
          <w:b/>
          <w:bCs/>
          <w:szCs w:val="32"/>
          <w:lang w:eastAsia="zh-CN"/>
        </w:rPr>
        <w:t>整体效能</w:t>
      </w:r>
      <w:bookmarkStart w:id="19" w:name="_Toc8156"/>
    </w:p>
    <w:p w14:paraId="70579A1B">
      <w:pPr>
        <w:pStyle w:val="4"/>
        <w:keepNext w:val="0"/>
        <w:keepLines w:val="0"/>
        <w:pageBreakBefore w:val="0"/>
        <w:kinsoku/>
        <w:wordWrap/>
        <w:overflowPunct/>
        <w:topLinePunct w:val="0"/>
        <w:autoSpaceDN/>
        <w:bidi w:val="0"/>
        <w:spacing w:beforeAutospacing="0" w:afterAutospacing="0" w:line="576" w:lineRule="exact"/>
        <w:ind w:left="0" w:leftChars="0" w:firstLine="616" w:firstLineChars="200"/>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lang w:val="en-US" w:eastAsia="zh-CN"/>
        </w:rPr>
        <w:t>产出指标完成情况：</w:t>
      </w:r>
      <w:r>
        <w:rPr>
          <w:rFonts w:hint="eastAsia" w:ascii="仿宋_GB2312" w:hAnsi="仿宋_GB2312" w:eastAsia="仿宋_GB2312" w:cs="仿宋_GB2312"/>
          <w:color w:val="auto"/>
          <w:lang w:val="en-US" w:eastAsia="zh-CN"/>
        </w:rPr>
        <w:t>2024年度，实际完成团的各项项目</w:t>
      </w:r>
      <w:r>
        <w:rPr>
          <w:rFonts w:hint="eastAsia" w:ascii="仿宋_GB2312" w:hAnsi="仿宋_GB2312" w:cs="仿宋_GB2312"/>
          <w:color w:val="auto"/>
          <w:lang w:val="en-US" w:eastAsia="zh-CN"/>
        </w:rPr>
        <w:t>5</w:t>
      </w:r>
      <w:r>
        <w:rPr>
          <w:rFonts w:hint="eastAsia" w:ascii="仿宋_GB2312" w:hAnsi="仿宋_GB2312" w:eastAsia="仿宋_GB2312" w:cs="仿宋_GB2312"/>
          <w:color w:val="auto"/>
          <w:lang w:val="en-US" w:eastAsia="zh-CN"/>
        </w:rPr>
        <w:t>个包括党建经费、</w:t>
      </w:r>
      <w:r>
        <w:rPr>
          <w:rFonts w:hint="eastAsia" w:ascii="仿宋_GB2312" w:hAnsi="仿宋_GB2312" w:cs="仿宋_GB2312"/>
          <w:color w:val="auto"/>
          <w:lang w:val="en-US" w:eastAsia="zh-CN"/>
        </w:rPr>
        <w:t>审计业务经费</w:t>
      </w:r>
      <w:r>
        <w:rPr>
          <w:rFonts w:hint="eastAsia" w:ascii="仿宋_GB2312" w:hAnsi="仿宋_GB2312" w:eastAsia="仿宋_GB2312" w:cs="仿宋_GB2312"/>
          <w:color w:val="auto"/>
          <w:lang w:val="en-US" w:eastAsia="zh-CN"/>
        </w:rPr>
        <w:t>、</w:t>
      </w:r>
      <w:r>
        <w:rPr>
          <w:rFonts w:hint="eastAsia" w:ascii="仿宋_GB2312" w:hAnsi="仿宋_GB2312" w:cs="仿宋_GB2312"/>
          <w:color w:val="auto"/>
          <w:lang w:val="en-US" w:eastAsia="zh-CN"/>
        </w:rPr>
        <w:t>网络运行经费</w:t>
      </w:r>
      <w:r>
        <w:rPr>
          <w:rFonts w:hint="eastAsia" w:ascii="仿宋_GB2312" w:hAnsi="仿宋_GB2312" w:eastAsia="仿宋_GB2312" w:cs="仿宋_GB2312"/>
          <w:color w:val="auto"/>
          <w:lang w:val="en-US" w:eastAsia="zh-CN"/>
        </w:rPr>
        <w:t>、</w:t>
      </w:r>
      <w:r>
        <w:rPr>
          <w:rFonts w:hint="eastAsia" w:ascii="仿宋_GB2312" w:hAnsi="仿宋_GB2312" w:cs="仿宋_GB2312"/>
          <w:color w:val="auto"/>
          <w:lang w:val="en-US" w:eastAsia="zh-CN"/>
        </w:rPr>
        <w:t>审计管理费</w:t>
      </w:r>
      <w:r>
        <w:rPr>
          <w:rFonts w:hint="eastAsia" w:ascii="仿宋_GB2312" w:hAnsi="仿宋_GB2312" w:eastAsia="仿宋_GB2312" w:cs="仿宋_GB2312"/>
          <w:color w:val="auto"/>
          <w:lang w:val="en-US" w:eastAsia="zh-CN"/>
        </w:rPr>
        <w:t>等；</w:t>
      </w:r>
      <w:r>
        <w:rPr>
          <w:rFonts w:hint="eastAsia" w:ascii="仿宋_GB2312" w:hAnsi="仿宋_GB2312" w:cs="仿宋_GB2312"/>
          <w:color w:val="auto"/>
          <w:lang w:val="en-US" w:eastAsia="zh-CN"/>
        </w:rPr>
        <w:t>林芝市审计局</w:t>
      </w:r>
      <w:r>
        <w:rPr>
          <w:rFonts w:hint="eastAsia" w:ascii="仿宋_GB2312" w:hAnsi="仿宋_GB2312" w:eastAsia="仿宋_GB2312" w:cs="仿宋_GB2312"/>
          <w:color w:val="auto"/>
          <w:lang w:val="en-US" w:eastAsia="zh-CN"/>
        </w:rPr>
        <w:t>积极开展各项活动</w:t>
      </w:r>
      <w:r>
        <w:rPr>
          <w:rFonts w:hint="eastAsia" w:ascii="仿宋_GB2312" w:hAnsi="仿宋_GB2312" w:cs="仿宋_GB2312"/>
          <w:color w:val="auto"/>
          <w:lang w:val="en-US" w:eastAsia="zh-CN"/>
        </w:rPr>
        <w:t>等</w:t>
      </w:r>
      <w:r>
        <w:rPr>
          <w:rFonts w:hint="eastAsia" w:ascii="仿宋_GB2312" w:hAnsi="仿宋_GB2312" w:eastAsia="仿宋_GB2312" w:cs="仿宋_GB2312"/>
          <w:color w:val="auto"/>
          <w:lang w:val="en-US" w:eastAsia="zh-CN"/>
        </w:rPr>
        <w:t>支出资金共计：</w:t>
      </w:r>
      <w:r>
        <w:rPr>
          <w:rFonts w:hint="eastAsia" w:ascii="仿宋_GB2312" w:hAnsi="仿宋_GB2312" w:cs="仿宋_GB2312"/>
          <w:color w:val="auto"/>
          <w:lang w:val="en-US" w:eastAsia="zh-CN"/>
        </w:rPr>
        <w:t>1468.53</w:t>
      </w:r>
      <w:r>
        <w:rPr>
          <w:rFonts w:hint="eastAsia" w:ascii="仿宋_GB2312" w:hAnsi="仿宋_GB2312" w:eastAsia="仿宋_GB2312" w:cs="仿宋_GB2312"/>
          <w:color w:val="auto"/>
          <w:lang w:val="en-US" w:eastAsia="zh-CN"/>
        </w:rPr>
        <w:t>万元，支付率达率为100%。</w:t>
      </w:r>
    </w:p>
    <w:p w14:paraId="28A48AF3">
      <w:pPr>
        <w:keepNext w:val="0"/>
        <w:keepLines w:val="0"/>
        <w:pageBreakBefore w:val="0"/>
        <w:kinsoku/>
        <w:wordWrap/>
        <w:overflowPunct/>
        <w:topLinePunct w:val="0"/>
        <w:autoSpaceDN/>
        <w:bidi w:val="0"/>
        <w:spacing w:beforeAutospacing="0" w:afterAutospacing="0" w:line="576" w:lineRule="exact"/>
        <w:ind w:left="0" w:leftChars="0" w:firstLine="615"/>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kern w:val="2"/>
          <w:sz w:val="32"/>
          <w:szCs w:val="24"/>
          <w:lang w:val="en-US" w:eastAsia="zh-CN" w:bidi="ar-SA"/>
        </w:rPr>
        <w:t>效益指标完成情况：</w:t>
      </w:r>
      <w:r>
        <w:rPr>
          <w:rFonts w:hint="eastAsia" w:ascii="仿宋_GB2312" w:hAnsi="仿宋_GB2312" w:eastAsia="仿宋_GB2312" w:cs="仿宋_GB2312"/>
          <w:color w:val="auto"/>
          <w:lang w:val="en-US" w:eastAsia="zh-CN"/>
        </w:rPr>
        <w:t>完成各项活动</w:t>
      </w:r>
      <w:r>
        <w:rPr>
          <w:rFonts w:hint="eastAsia" w:ascii="仿宋_GB2312" w:hAnsi="仿宋_GB2312" w:cs="仿宋_GB2312"/>
          <w:color w:val="auto"/>
          <w:lang w:val="en-US" w:eastAsia="zh-CN"/>
        </w:rPr>
        <w:t>等</w:t>
      </w:r>
      <w:r>
        <w:rPr>
          <w:rFonts w:hint="eastAsia" w:ascii="仿宋_GB2312" w:hAnsi="仿宋_GB2312" w:eastAsia="仿宋_GB2312" w:cs="仿宋_GB2312"/>
          <w:color w:val="auto"/>
          <w:lang w:val="en-US" w:eastAsia="zh-CN"/>
        </w:rPr>
        <w:t>支出资金共</w:t>
      </w:r>
      <w:r>
        <w:rPr>
          <w:rFonts w:hint="eastAsia" w:ascii="仿宋_GB2312" w:hAnsi="仿宋_GB2312" w:cs="仿宋_GB2312"/>
          <w:color w:val="auto"/>
          <w:lang w:val="en-US" w:eastAsia="zh-CN"/>
        </w:rPr>
        <w:t>1468.53</w:t>
      </w:r>
      <w:r>
        <w:rPr>
          <w:rFonts w:hint="eastAsia" w:ascii="仿宋_GB2312" w:hAnsi="仿宋_GB2312" w:eastAsia="仿宋_GB2312" w:cs="仿宋_GB2312"/>
          <w:color w:val="auto"/>
          <w:lang w:val="en-US" w:eastAsia="zh-CN"/>
        </w:rPr>
        <w:t>万元，完善制度，有效规范财务管理和内部治理。</w:t>
      </w:r>
    </w:p>
    <w:p w14:paraId="45764688">
      <w:pPr>
        <w:pStyle w:val="12"/>
        <w:keepNext w:val="0"/>
        <w:keepLines w:val="0"/>
        <w:pageBreakBefore w:val="0"/>
        <w:kinsoku/>
        <w:wordWrap/>
        <w:overflowPunct/>
        <w:topLinePunct w:val="0"/>
        <w:autoSpaceDN/>
        <w:bidi w:val="0"/>
        <w:spacing w:beforeAutospacing="0" w:afterAutospacing="0" w:line="576" w:lineRule="exact"/>
        <w:ind w:left="0" w:leftChars="0" w:firstLine="615"/>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kern w:val="2"/>
          <w:sz w:val="32"/>
          <w:szCs w:val="24"/>
          <w:lang w:val="en-US" w:eastAsia="zh-CN" w:bidi="ar-SA"/>
        </w:rPr>
        <w:t>预算资金支出率：</w:t>
      </w:r>
      <w:r>
        <w:rPr>
          <w:rFonts w:hint="eastAsia" w:ascii="仿宋_GB2312" w:hAnsi="仿宋_GB2312" w:eastAsia="仿宋_GB2312" w:cs="仿宋_GB2312"/>
          <w:color w:val="auto"/>
          <w:lang w:val="en-US" w:eastAsia="zh-CN"/>
        </w:rPr>
        <w:t>2024年预算资金支出</w:t>
      </w:r>
      <w:r>
        <w:rPr>
          <w:rFonts w:hint="eastAsia" w:ascii="仿宋_GB2312" w:hAnsi="仿宋_GB2312" w:cs="仿宋_GB2312"/>
          <w:color w:val="auto"/>
          <w:lang w:val="en-US" w:eastAsia="zh-CN"/>
        </w:rPr>
        <w:t>1468.53</w:t>
      </w:r>
      <w:r>
        <w:rPr>
          <w:rFonts w:hint="eastAsia" w:ascii="仿宋_GB2312" w:hAnsi="仿宋_GB2312" w:eastAsia="仿宋_GB2312" w:cs="仿宋_GB2312"/>
          <w:color w:val="auto"/>
          <w:lang w:val="en-US" w:eastAsia="zh-CN"/>
        </w:rPr>
        <w:t>万元，支出率100%。</w:t>
      </w:r>
    </w:p>
    <w:bookmarkEnd w:id="19"/>
    <w:p w14:paraId="31B7A51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16" w:firstLineChars="200"/>
        <w:jc w:val="both"/>
        <w:textAlignment w:val="auto"/>
        <w:outlineLvl w:val="9"/>
        <w:rPr>
          <w:rFonts w:hint="eastAsia" w:ascii="仿宋_GB2312" w:hAnsi="仿宋_GB2312" w:eastAsia="仿宋_GB2312" w:cs="仿宋_GB2312"/>
          <w:b/>
          <w:bCs/>
          <w:color w:val="000000"/>
          <w:kern w:val="2"/>
          <w:sz w:val="32"/>
          <w:szCs w:val="24"/>
          <w:lang w:val="en-US" w:eastAsia="zh-CN" w:bidi="ar-SA"/>
        </w:rPr>
      </w:pPr>
      <w:r>
        <w:rPr>
          <w:rFonts w:hint="eastAsia" w:ascii="仿宋_GB2312" w:hAnsi="仿宋_GB2312" w:eastAsia="仿宋_GB2312" w:cs="仿宋_GB2312"/>
          <w:b/>
          <w:bCs/>
          <w:szCs w:val="32"/>
          <w:lang w:val="en-US" w:eastAsia="zh-CN"/>
        </w:rPr>
        <w:t>2.</w:t>
      </w:r>
      <w:r>
        <w:rPr>
          <w:rFonts w:hint="eastAsia" w:ascii="仿宋_GB2312" w:hAnsi="仿宋_GB2312" w:eastAsia="仿宋_GB2312" w:cs="仿宋_GB2312"/>
          <w:b/>
          <w:bCs/>
          <w:szCs w:val="32"/>
          <w:lang w:eastAsia="zh-CN"/>
        </w:rPr>
        <w:t>专项效能</w:t>
      </w:r>
    </w:p>
    <w:p w14:paraId="621975D9">
      <w:pPr>
        <w:pStyle w:val="12"/>
        <w:keepNext w:val="0"/>
        <w:keepLines w:val="0"/>
        <w:pageBreakBefore w:val="0"/>
        <w:numPr>
          <w:ilvl w:val="0"/>
          <w:numId w:val="0"/>
        </w:numPr>
        <w:kinsoku/>
        <w:wordWrap/>
        <w:overflowPunct/>
        <w:topLinePunct w:val="0"/>
        <w:autoSpaceDN/>
        <w:bidi w:val="0"/>
        <w:spacing w:beforeAutospacing="0" w:afterAutospacing="0" w:line="576" w:lineRule="exact"/>
        <w:ind w:left="0" w:leftChars="0" w:firstLine="615"/>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bCs/>
          <w:color w:val="000000"/>
          <w:kern w:val="2"/>
          <w:sz w:val="32"/>
          <w:szCs w:val="24"/>
          <w:lang w:val="en-US" w:eastAsia="zh-CN" w:bidi="ar-SA"/>
        </w:rPr>
        <w:t>项目实施程序：</w:t>
      </w:r>
      <w:r>
        <w:rPr>
          <w:rFonts w:hint="eastAsia" w:ascii="仿宋_GB2312" w:hAnsi="仿宋_GB2312" w:eastAsia="仿宋_GB2312" w:cs="仿宋_GB2312"/>
          <w:lang w:val="en-US" w:eastAsia="zh-CN"/>
        </w:rPr>
        <w:t>各项项目资金严格相关文件执行，从方案制定、具体实施，各环节规范有序，确保各项活动圆满结束。</w:t>
      </w:r>
    </w:p>
    <w:p w14:paraId="7E1F2B80">
      <w:pPr>
        <w:pStyle w:val="4"/>
        <w:keepNext w:val="0"/>
        <w:keepLines w:val="0"/>
        <w:pageBreakBefore w:val="0"/>
        <w:kinsoku/>
        <w:wordWrap/>
        <w:overflowPunct/>
        <w:topLinePunct w:val="0"/>
        <w:autoSpaceDN/>
        <w:bidi w:val="0"/>
        <w:spacing w:beforeAutospacing="0" w:afterAutospacing="0" w:line="576" w:lineRule="exact"/>
        <w:ind w:left="0" w:leftChars="0" w:firstLine="615"/>
        <w:jc w:val="both"/>
        <w:textAlignment w:val="auto"/>
        <w:rPr>
          <w:rFonts w:hint="default"/>
          <w:lang w:val="en-US" w:eastAsia="zh-CN"/>
        </w:rPr>
      </w:pPr>
      <w:r>
        <w:rPr>
          <w:rFonts w:hint="eastAsia" w:ascii="仿宋_GB2312" w:hAnsi="仿宋_GB2312" w:eastAsia="仿宋_GB2312" w:cs="仿宋_GB2312"/>
          <w:b/>
          <w:bCs/>
          <w:lang w:val="en-US" w:eastAsia="zh-CN"/>
        </w:rPr>
        <w:t>项目监管：</w:t>
      </w:r>
      <w:r>
        <w:rPr>
          <w:rFonts w:hint="eastAsia" w:ascii="仿宋_GB2312" w:hAnsi="仿宋_GB2312" w:eastAsia="仿宋_GB2312" w:cs="仿宋_GB2312"/>
          <w:lang w:val="en-US" w:eastAsia="zh-CN"/>
        </w:rPr>
        <w:t>有部门负责人及分管领导具体跟进实施，确保各项工作能够顺利开展。</w:t>
      </w:r>
    </w:p>
    <w:p w14:paraId="74D84457">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16" w:firstLineChars="200"/>
        <w:jc w:val="both"/>
        <w:textAlignment w:val="auto"/>
        <w:outlineLvl w:val="9"/>
        <w:rPr>
          <w:rFonts w:hint="eastAsia" w:ascii="楷体_GB2312" w:eastAsia="楷体_GB2312"/>
          <w:b w:val="0"/>
          <w:bCs w:val="0"/>
          <w:szCs w:val="32"/>
          <w:lang w:eastAsia="zh-CN"/>
        </w:rPr>
      </w:pPr>
      <w:bookmarkStart w:id="20" w:name="_Toc13662"/>
      <w:bookmarkStart w:id="21" w:name="_Toc19200_WPSOffice_Level2"/>
      <w:bookmarkStart w:id="22" w:name="_Toc5828_WPSOffice_Level3"/>
      <w:bookmarkStart w:id="23" w:name="_Toc32482"/>
      <w:r>
        <w:rPr>
          <w:rFonts w:hint="eastAsia" w:ascii="楷体_GB2312" w:eastAsia="楷体_GB2312"/>
          <w:b w:val="0"/>
          <w:bCs w:val="0"/>
          <w:szCs w:val="32"/>
        </w:rPr>
        <w:t>（二）</w:t>
      </w:r>
      <w:bookmarkEnd w:id="20"/>
      <w:bookmarkEnd w:id="21"/>
      <w:bookmarkEnd w:id="22"/>
      <w:bookmarkEnd w:id="23"/>
      <w:r>
        <w:rPr>
          <w:rFonts w:hint="eastAsia" w:ascii="楷体_GB2312" w:eastAsia="楷体_GB2312"/>
          <w:b w:val="0"/>
          <w:bCs w:val="0"/>
          <w:szCs w:val="32"/>
          <w:lang w:eastAsia="zh-CN"/>
        </w:rPr>
        <w:t>管理效率</w:t>
      </w:r>
    </w:p>
    <w:p w14:paraId="4830AF5D">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16" w:firstLineChars="200"/>
        <w:jc w:val="both"/>
        <w:textAlignment w:val="auto"/>
        <w:outlineLvl w:val="9"/>
        <w:rPr>
          <w:rFonts w:hint="eastAsia" w:ascii="仿宋_GB2312" w:hAnsi="仿宋_GB2312" w:eastAsia="仿宋_GB2312" w:cs="仿宋_GB2312"/>
          <w:bCs/>
          <w:szCs w:val="32"/>
          <w:lang w:val="en-US" w:eastAsia="zh-CN"/>
        </w:rPr>
      </w:pPr>
      <w:r>
        <w:rPr>
          <w:rFonts w:hint="eastAsia" w:ascii="仿宋_GB2312" w:hAnsi="仿宋_GB2312" w:eastAsia="仿宋_GB2312" w:cs="仿宋_GB2312"/>
          <w:b/>
          <w:bCs/>
          <w:color w:val="000000"/>
          <w:kern w:val="2"/>
          <w:sz w:val="32"/>
          <w:szCs w:val="24"/>
          <w:lang w:val="en-US" w:eastAsia="zh-CN" w:bidi="ar-SA"/>
        </w:rPr>
        <w:t>1.预算编制:</w:t>
      </w:r>
      <w:r>
        <w:rPr>
          <w:rFonts w:hint="eastAsia" w:ascii="仿宋_GB2312" w:hAnsi="仿宋_GB2312" w:eastAsia="仿宋_GB2312" w:cs="仿宋_GB2312"/>
          <w:bCs/>
          <w:szCs w:val="32"/>
          <w:lang w:eastAsia="zh-CN"/>
        </w:rPr>
        <w:t>对新增项目开展事前绩效评估，全面考量项目必要性、可行性与预期效益等，避免盲目立项，高效完成预算编制总体工作，涵盖科学估算资金需求，合理分配资源等，同时设置明确、可衡量、有时限的绩效目标</w:t>
      </w:r>
    </w:p>
    <w:p w14:paraId="61201215">
      <w:pPr>
        <w:pStyle w:val="4"/>
        <w:keepNext w:val="0"/>
        <w:keepLines w:val="0"/>
        <w:pageBreakBefore w:val="0"/>
        <w:kinsoku/>
        <w:wordWrap/>
        <w:overflowPunct/>
        <w:topLinePunct w:val="0"/>
        <w:autoSpaceDN/>
        <w:bidi w:val="0"/>
        <w:spacing w:beforeAutospacing="0" w:afterAutospacing="0" w:line="576" w:lineRule="exact"/>
        <w:ind w:left="0" w:leftChars="0" w:firstLine="615"/>
        <w:jc w:val="both"/>
        <w:textAlignment w:val="auto"/>
        <w:rPr>
          <w:rFonts w:hint="eastAsia" w:ascii="仿宋_GB2312" w:hAnsi="仿宋_GB2312" w:eastAsia="仿宋_GB2312" w:cs="仿宋_GB2312"/>
          <w:bCs/>
          <w:szCs w:val="32"/>
          <w:lang w:val="en-US" w:eastAsia="zh-CN"/>
        </w:rPr>
      </w:pPr>
      <w:bookmarkStart w:id="24" w:name="_Toc3319"/>
      <w:r>
        <w:rPr>
          <w:rFonts w:hint="eastAsia" w:ascii="仿宋_GB2312" w:hAnsi="仿宋_GB2312" w:eastAsia="仿宋_GB2312" w:cs="仿宋_GB2312"/>
          <w:b/>
          <w:bCs/>
          <w:lang w:val="en-US" w:eastAsia="zh-CN"/>
        </w:rPr>
        <w:t>2.预算执行</w:t>
      </w:r>
      <w:bookmarkEnd w:id="24"/>
      <w:bookmarkStart w:id="25" w:name="_Toc29827"/>
      <w:r>
        <w:rPr>
          <w:rFonts w:hint="eastAsia" w:ascii="仿宋_GB2312" w:hAnsi="仿宋_GB2312" w:eastAsia="仿宋_GB2312" w:cs="仿宋_GB2312"/>
          <w:b/>
          <w:bCs/>
          <w:lang w:val="en-US" w:eastAsia="zh-CN"/>
        </w:rPr>
        <w:t>:</w:t>
      </w:r>
      <w:r>
        <w:rPr>
          <w:rFonts w:hint="eastAsia" w:ascii="仿宋_GB2312" w:hAnsi="仿宋_GB2312" w:eastAsia="仿宋_GB2312" w:cs="仿宋_GB2312"/>
          <w:bCs/>
          <w:szCs w:val="32"/>
          <w:lang w:val="en-US" w:eastAsia="zh-CN"/>
        </w:rPr>
        <w:t>确保预算编制，增强约束性，严格按既定预算执行，减少随意调整与变更，规范资金下达流程，保证资金及时、合规拨付至用款单位或项目，提高资金使用时效性，强化财务管理合规性，严格把控会计核算、财务收支审批等环节，防范财务风险。</w:t>
      </w:r>
    </w:p>
    <w:p w14:paraId="771FE308">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16"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b/>
          <w:bCs/>
          <w:color w:val="000000"/>
          <w:kern w:val="2"/>
          <w:sz w:val="32"/>
          <w:szCs w:val="24"/>
          <w:lang w:val="en-US" w:eastAsia="zh-CN" w:bidi="ar-SA"/>
        </w:rPr>
        <w:t>3.信息公开</w:t>
      </w:r>
      <w:bookmarkEnd w:id="25"/>
      <w:bookmarkStart w:id="26" w:name="_Toc3788"/>
      <w:r>
        <w:rPr>
          <w:rFonts w:hint="eastAsia" w:ascii="仿宋_GB2312" w:hAnsi="仿宋_GB2312" w:eastAsia="仿宋_GB2312" w:cs="仿宋_GB2312"/>
          <w:b/>
          <w:bCs/>
          <w:color w:val="000000"/>
          <w:kern w:val="2"/>
          <w:sz w:val="32"/>
          <w:szCs w:val="24"/>
          <w:lang w:val="en-US" w:eastAsia="zh-CN" w:bidi="ar-SA"/>
        </w:rPr>
        <w:t>：</w:t>
      </w:r>
      <w:r>
        <w:rPr>
          <w:rFonts w:hint="eastAsia" w:ascii="仿宋_GB2312" w:hAnsi="仿宋_GB2312" w:eastAsia="仿宋_GB2312" w:cs="仿宋_GB2312"/>
          <w:szCs w:val="32"/>
          <w:lang w:eastAsia="zh-CN"/>
        </w:rPr>
        <w:t>依规及时公开预决算信息，包括收入、支出明细等，保障公众知情权与监督权，全面、准确公开绩效信息，项目绩效目标完成情况、资金使用效益情况，让社会了解共青团林芝市委员会工作成效与资源利用效率，通过高效信息公开，增强团委机关透明度与公信力。</w:t>
      </w:r>
    </w:p>
    <w:p w14:paraId="63452239">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16"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b/>
          <w:bCs/>
          <w:color w:val="000000"/>
          <w:kern w:val="2"/>
          <w:sz w:val="32"/>
          <w:szCs w:val="24"/>
          <w:lang w:val="en-US" w:eastAsia="zh-CN" w:bidi="ar-SA"/>
        </w:rPr>
        <w:t>4.绩效管理</w:t>
      </w:r>
      <w:bookmarkEnd w:id="26"/>
      <w:r>
        <w:rPr>
          <w:rFonts w:hint="eastAsia" w:ascii="仿宋_GB2312" w:hAnsi="仿宋_GB2312" w:eastAsia="仿宋_GB2312" w:cs="仿宋_GB2312"/>
          <w:b/>
          <w:bCs/>
          <w:color w:val="000000"/>
          <w:kern w:val="2"/>
          <w:sz w:val="32"/>
          <w:szCs w:val="24"/>
          <w:lang w:val="en-US" w:eastAsia="zh-CN" w:bidi="ar-SA"/>
        </w:rPr>
        <w:t>：</w:t>
      </w:r>
      <w:r>
        <w:rPr>
          <w:rFonts w:hint="eastAsia" w:ascii="仿宋_GB2312" w:hAnsi="仿宋_GB2312" w:eastAsia="仿宋_GB2312" w:cs="仿宋_GB2312"/>
          <w:szCs w:val="32"/>
          <w:lang w:eastAsia="zh-CN"/>
        </w:rPr>
        <w:t>完善绩效管理制度，涵盖绩效目标设定、监控、评价、结果应用等全流程规范，明确各部门与人员在绩效管理中的职责，严格执行绩效管理制度，按既定流程与标准开展绩效监控与评价，确保结果客观公正。</w:t>
      </w:r>
    </w:p>
    <w:p w14:paraId="1F07E99C">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16" w:firstLineChars="200"/>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b/>
          <w:bCs/>
          <w:color w:val="000000"/>
          <w:kern w:val="2"/>
          <w:sz w:val="32"/>
          <w:szCs w:val="24"/>
          <w:lang w:val="en-US" w:eastAsia="zh-CN" w:bidi="ar-SA"/>
        </w:rPr>
        <w:t>5.采购管理：</w:t>
      </w:r>
      <w:r>
        <w:rPr>
          <w:rFonts w:hint="eastAsia" w:ascii="仿宋_GB2312" w:hAnsi="仿宋_GB2312" w:eastAsia="仿宋_GB2312" w:cs="仿宋_GB2312"/>
          <w:b w:val="0"/>
          <w:bCs w:val="0"/>
          <w:szCs w:val="32"/>
          <w:lang w:val="en-US" w:eastAsia="zh-CN"/>
        </w:rPr>
        <w:t>确</w:t>
      </w:r>
      <w:r>
        <w:rPr>
          <w:rFonts w:hint="eastAsia" w:ascii="仿宋_GB2312" w:hAnsi="仿宋_GB2312" w:eastAsia="仿宋_GB2312" w:cs="仿宋_GB2312"/>
          <w:szCs w:val="32"/>
          <w:lang w:val="en-US" w:eastAsia="zh-CN"/>
        </w:rPr>
        <w:t>保采购活动基于实际需求且经济合理，避免盲目采购、重复采购。构建健全采购内控制度，规范采购流程，包括采购申请、审批、招标、合同签订、验收等环节，防范采购风险，高效开展采购活动，在保证采购质量的前提下，缩短采购周期、降低采购成本。</w:t>
      </w:r>
    </w:p>
    <w:p w14:paraId="43E4744F">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16" w:firstLineChars="200"/>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b/>
          <w:bCs/>
          <w:color w:val="000000"/>
          <w:kern w:val="2"/>
          <w:sz w:val="32"/>
          <w:szCs w:val="24"/>
          <w:lang w:val="en-US" w:eastAsia="zh-CN" w:bidi="ar-SA"/>
        </w:rPr>
        <w:t>6.资产管理：</w:t>
      </w:r>
      <w:r>
        <w:rPr>
          <w:rFonts w:hint="eastAsia" w:ascii="仿宋_GB2312" w:hAnsi="仿宋_GB2312" w:eastAsia="仿宋_GB2312" w:cs="仿宋_GB2312"/>
          <w:szCs w:val="32"/>
          <w:lang w:val="en-US" w:eastAsia="zh-CN"/>
        </w:rPr>
        <w:t>根据日常开展工作实际需求与发展规划，科学配置资产，避免资产闲置或重复购置，强化资产日常使用管理，建立资产台账，明确资产使用责任人，规范资产领用、归还流程，防止资产流失。严格执行资产处置相关规定，规范资产报废、调拨、出售等处置流程。</w:t>
      </w:r>
    </w:p>
    <w:p w14:paraId="7584979D">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16" w:firstLineChars="200"/>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b/>
          <w:bCs/>
          <w:color w:val="000000"/>
          <w:kern w:val="2"/>
          <w:sz w:val="32"/>
          <w:szCs w:val="24"/>
          <w:lang w:val="en-US" w:eastAsia="zh-CN" w:bidi="ar-SA"/>
        </w:rPr>
        <w:t>7.运行成本：</w:t>
      </w:r>
      <w:r>
        <w:rPr>
          <w:rFonts w:hint="eastAsia" w:ascii="仿宋_GB2312" w:hAnsi="仿宋_GB2312" w:eastAsia="仿宋_GB2312" w:cs="仿宋_GB2312"/>
          <w:szCs w:val="32"/>
          <w:lang w:val="en-US" w:eastAsia="zh-CN"/>
        </w:rPr>
        <w:t>在编制运行成本预算时，对各项费用进行细致梳理和分析，采用科学办法，准确预测成本支出。通过整合内部资源，实现办公场地、设备、信息等资源的共享共用，降低单位运行成本。</w:t>
      </w:r>
    </w:p>
    <w:p w14:paraId="1142C9A5">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16" w:firstLineChars="200"/>
        <w:jc w:val="both"/>
        <w:textAlignment w:val="auto"/>
        <w:outlineLvl w:val="9"/>
        <w:rPr>
          <w:rFonts w:hint="eastAsia" w:ascii="黑体" w:hAnsi="黑体" w:eastAsia="黑体" w:cs="黑体"/>
        </w:rPr>
      </w:pPr>
      <w:bookmarkStart w:id="27" w:name="_Toc18975"/>
      <w:r>
        <w:rPr>
          <w:rFonts w:hint="eastAsia" w:ascii="黑体" w:hAnsi="黑体" w:eastAsia="黑体" w:cs="黑体"/>
        </w:rPr>
        <w:t>四、存在的问题、原因分析及改进措施</w:t>
      </w:r>
    </w:p>
    <w:p w14:paraId="3B5940D3">
      <w:pPr>
        <w:pStyle w:val="2"/>
        <w:keepNext w:val="0"/>
        <w:keepLines w:val="0"/>
        <w:pageBreakBefore w:val="0"/>
        <w:kinsoku/>
        <w:wordWrap/>
        <w:overflowPunct/>
        <w:topLinePunct w:val="0"/>
        <w:autoSpaceDN/>
        <w:bidi w:val="0"/>
        <w:spacing w:before="0" w:beforeAutospacing="0" w:after="0" w:afterAutospacing="0" w:line="576" w:lineRule="exact"/>
        <w:ind w:left="0" w:leftChars="0" w:firstLine="616"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）存在的问题</w:t>
      </w:r>
    </w:p>
    <w:p w14:paraId="12C4F93D">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1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预算编制方面</w:t>
      </w:r>
      <w:r>
        <w:rPr>
          <w:rFonts w:hint="eastAsia" w:ascii="仿宋_GB2312" w:hAnsi="仿宋_GB2312" w:eastAsia="仿宋_GB2312" w:cs="仿宋_GB2312"/>
          <w:sz w:val="32"/>
          <w:szCs w:val="32"/>
        </w:rPr>
        <w:t>：部</w:t>
      </w:r>
      <w:r>
        <w:rPr>
          <w:rFonts w:hint="eastAsia" w:ascii="仿宋_GB2312" w:hAnsi="仿宋_GB2312" w:eastAsia="仿宋_GB2312" w:cs="仿宋_GB2312"/>
          <w:sz w:val="32"/>
          <w:szCs w:val="32"/>
          <w:lang w:val="en-US" w:eastAsia="zh-CN"/>
        </w:rPr>
        <w:t>分预算项目事前绩效评估流于形式，对项目必要性、可行性及预期效益考量不充分，导致预算资金需求估算偏差较大，资源分配不够合理。同时，绩效目标设定模糊，缺乏明确的衡量标准与时间限制，难以在后续执行与考核中有效应用。</w:t>
      </w:r>
    </w:p>
    <w:p w14:paraId="2BBF7A8B">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1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2.预算执行方面</w:t>
      </w:r>
      <w:r>
        <w:rPr>
          <w:rFonts w:hint="eastAsia" w:ascii="仿宋_GB2312" w:hAnsi="仿宋_GB2312" w:eastAsia="仿宋_GB2312" w:cs="仿宋_GB2312"/>
          <w:sz w:val="32"/>
          <w:szCs w:val="32"/>
          <w:lang w:val="en-US" w:eastAsia="zh-CN"/>
        </w:rPr>
        <w:t>：预算约束性不强，执行过程中随意调整、变更预算的情况时有发生。资金下达流程繁琐，存在拨付不及时的问题，影响项目推进时效性。</w:t>
      </w:r>
    </w:p>
    <w:p w14:paraId="64E3D096">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1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3.预算使用效益方面</w:t>
      </w:r>
      <w:r>
        <w:rPr>
          <w:rFonts w:hint="eastAsia" w:ascii="仿宋_GB2312" w:hAnsi="仿宋_GB2312" w:eastAsia="仿宋_GB2312" w:cs="仿宋_GB2312"/>
          <w:sz w:val="32"/>
          <w:szCs w:val="32"/>
          <w:lang w:val="en-US" w:eastAsia="zh-CN"/>
        </w:rPr>
        <w:t>：对预算资金使用的效益跟踪与评价不足，未能及时掌握资金实际使用效果与预期目标的差距，导致一些项目资金使用效率低下，未能充分实现预期效益。</w:t>
      </w:r>
    </w:p>
    <w:p w14:paraId="786BDEF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firstLine="616"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原因分析</w:t>
      </w:r>
    </w:p>
    <w:p w14:paraId="6F86A891">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1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b/>
          <w:bCs/>
          <w:sz w:val="32"/>
          <w:szCs w:val="32"/>
          <w:lang w:val="en-US" w:eastAsia="zh-CN"/>
        </w:rPr>
        <w:t>1.</w:t>
      </w:r>
      <w:r>
        <w:rPr>
          <w:rFonts w:hint="eastAsia" w:ascii="仿宋_GB2312" w:hAnsi="仿宋_GB2312" w:eastAsia="仿宋_GB2312" w:cs="仿宋_GB2312"/>
          <w:b/>
          <w:bCs/>
          <w:sz w:val="32"/>
          <w:szCs w:val="32"/>
          <w:lang w:val="en-US" w:eastAsia="zh-CN"/>
        </w:rPr>
        <w:t>预算编制</w:t>
      </w:r>
      <w:r>
        <w:rPr>
          <w:rFonts w:hint="eastAsia" w:ascii="仿宋_GB2312" w:hAnsi="仿宋_GB2312" w:eastAsia="仿宋_GB2312" w:cs="仿宋_GB2312"/>
          <w:sz w:val="32"/>
          <w:szCs w:val="32"/>
          <w:lang w:val="en-US" w:eastAsia="zh-CN"/>
        </w:rPr>
        <w:t>：相关工作人员对绩效评估重视不够、专业能力不足，缺乏科学规范的评估流程与方法指导。同时，在绩效目标设定时，缺乏跨部门沟通与协调，导致目标与实际工作衔接不紧密。</w:t>
      </w:r>
    </w:p>
    <w:p w14:paraId="5C2D7E84">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1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b/>
          <w:bCs/>
          <w:sz w:val="32"/>
          <w:szCs w:val="32"/>
          <w:lang w:val="en-US" w:eastAsia="zh-CN"/>
        </w:rPr>
        <w:t>2.</w:t>
      </w:r>
      <w:r>
        <w:rPr>
          <w:rFonts w:hint="eastAsia" w:ascii="仿宋_GB2312" w:hAnsi="仿宋_GB2312" w:eastAsia="仿宋_GB2312" w:cs="仿宋_GB2312"/>
          <w:b/>
          <w:bCs/>
          <w:sz w:val="32"/>
          <w:szCs w:val="32"/>
          <w:lang w:val="en-US" w:eastAsia="zh-CN"/>
        </w:rPr>
        <w:t>预算执行</w:t>
      </w:r>
      <w:r>
        <w:rPr>
          <w:rFonts w:hint="eastAsia" w:ascii="仿宋_GB2312" w:hAnsi="仿宋_GB2312" w:eastAsia="仿宋_GB2312" w:cs="仿宋_GB2312"/>
          <w:sz w:val="32"/>
          <w:szCs w:val="32"/>
          <w:lang w:val="en-US" w:eastAsia="zh-CN"/>
        </w:rPr>
        <w:t>：预算管理制度执行不够严格，缺乏有效的监督考核机制。资金管理部门间沟通不畅，信息传递存在延误，且财务管理内控体系不够完善，制度执行不到位。</w:t>
      </w:r>
    </w:p>
    <w:p w14:paraId="4A466262">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1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b/>
          <w:bCs/>
          <w:sz w:val="32"/>
          <w:szCs w:val="32"/>
          <w:lang w:val="en-US" w:eastAsia="zh-CN"/>
        </w:rPr>
        <w:t>3.</w:t>
      </w:r>
      <w:r>
        <w:rPr>
          <w:rFonts w:hint="eastAsia" w:ascii="仿宋_GB2312" w:hAnsi="仿宋_GB2312" w:eastAsia="仿宋_GB2312" w:cs="仿宋_GB2312"/>
          <w:b/>
          <w:bCs/>
          <w:sz w:val="32"/>
          <w:szCs w:val="32"/>
          <w:lang w:val="en-US" w:eastAsia="zh-CN"/>
        </w:rPr>
        <w:t>预算使用效益：</w:t>
      </w:r>
      <w:r>
        <w:rPr>
          <w:rFonts w:hint="eastAsia" w:ascii="仿宋_GB2312" w:hAnsi="仿宋_GB2312" w:eastAsia="仿宋_GB2312" w:cs="仿宋_GB2312"/>
          <w:sz w:val="32"/>
          <w:szCs w:val="32"/>
          <w:lang w:val="en-US" w:eastAsia="zh-CN"/>
        </w:rPr>
        <w:t>缺乏完善的预算效益评价体系，没有明确的效益评价指标和定期的跟踪评估机制，对预算资金使用效益的重视程度有待提高。</w:t>
      </w:r>
    </w:p>
    <w:p w14:paraId="4D054BF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firstLine="61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改进措施</w:t>
      </w:r>
    </w:p>
    <w:p w14:paraId="396BC790">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1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b/>
          <w:bCs/>
          <w:sz w:val="32"/>
          <w:szCs w:val="32"/>
          <w:lang w:val="en-US" w:eastAsia="zh-CN"/>
        </w:rPr>
        <w:t>1.</w:t>
      </w:r>
      <w:r>
        <w:rPr>
          <w:rFonts w:hint="eastAsia" w:ascii="仿宋_GB2312" w:hAnsi="仿宋_GB2312" w:eastAsia="仿宋_GB2312" w:cs="仿宋_GB2312"/>
          <w:b/>
          <w:bCs/>
          <w:sz w:val="32"/>
          <w:szCs w:val="32"/>
          <w:lang w:val="en-US" w:eastAsia="zh-CN"/>
        </w:rPr>
        <w:t>预算编制</w:t>
      </w:r>
      <w:r>
        <w:rPr>
          <w:rFonts w:hint="eastAsia" w:ascii="仿宋_GB2312" w:hAnsi="仿宋_GB2312" w:eastAsia="仿宋_GB2312" w:cs="仿宋_GB2312"/>
          <w:sz w:val="32"/>
          <w:szCs w:val="32"/>
          <w:lang w:val="en-US" w:eastAsia="zh-CN"/>
        </w:rPr>
        <w:t>：加强对工作人员的培训，提升绩效评估专业素养，建立标准化、精细化的事前绩效评估流程。强化跨部门协作，共同参与绩效目标设定，确保目标可衡量、有时限、与实际紧密相关。</w:t>
      </w:r>
    </w:p>
    <w:p w14:paraId="114ACC86">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1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b/>
          <w:bCs/>
          <w:sz w:val="32"/>
          <w:szCs w:val="32"/>
          <w:lang w:val="en-US" w:eastAsia="zh-CN"/>
        </w:rPr>
        <w:t>2.</w:t>
      </w:r>
      <w:r>
        <w:rPr>
          <w:rFonts w:hint="eastAsia" w:ascii="仿宋_GB2312" w:hAnsi="仿宋_GB2312" w:eastAsia="仿宋_GB2312" w:cs="仿宋_GB2312"/>
          <w:b/>
          <w:bCs/>
          <w:sz w:val="32"/>
          <w:szCs w:val="32"/>
          <w:lang w:val="en-US" w:eastAsia="zh-CN"/>
        </w:rPr>
        <w:t>预算执行</w:t>
      </w:r>
      <w:r>
        <w:rPr>
          <w:rFonts w:hint="eastAsia" w:ascii="仿宋_GB2312" w:hAnsi="仿宋_GB2312" w:eastAsia="仿宋_GB2312" w:cs="仿宋_GB2312"/>
          <w:sz w:val="32"/>
          <w:szCs w:val="32"/>
          <w:lang w:val="en-US" w:eastAsia="zh-CN"/>
        </w:rPr>
        <w:t>：严格落实预算管理制度，加大监督考核力度，对违规调整预算等行为严肃问责。加强部门间信息共享与沟通，同时完善财务管理内控体系，堵塞管理漏洞。</w:t>
      </w:r>
    </w:p>
    <w:p w14:paraId="50BD09DB">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1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cs="仿宋_GB2312"/>
          <w:b/>
          <w:bCs/>
          <w:sz w:val="32"/>
          <w:szCs w:val="32"/>
          <w:lang w:val="en-US" w:eastAsia="zh-CN"/>
        </w:rPr>
        <w:t>3.</w:t>
      </w:r>
      <w:r>
        <w:rPr>
          <w:rFonts w:hint="eastAsia" w:ascii="仿宋_GB2312" w:hAnsi="仿宋_GB2312" w:eastAsia="仿宋_GB2312" w:cs="仿宋_GB2312"/>
          <w:b/>
          <w:bCs/>
          <w:sz w:val="32"/>
          <w:szCs w:val="32"/>
          <w:lang w:val="en-US" w:eastAsia="zh-CN"/>
        </w:rPr>
        <w:t>预算使用效益</w:t>
      </w:r>
      <w:r>
        <w:rPr>
          <w:rFonts w:hint="eastAsia" w:ascii="仿宋_GB2312" w:hAnsi="仿宋_GB2312" w:eastAsia="仿宋_GB2312" w:cs="仿宋_GB2312"/>
          <w:sz w:val="32"/>
          <w:szCs w:val="32"/>
          <w:lang w:val="en-US" w:eastAsia="zh-CN"/>
        </w:rPr>
        <w:t>：构建全面、科学的预算效益评价体系，设定明确的效益评价指标，定期对预算资金使用情况进行跟踪评估。根据评估结果及时调整资金使用方向与方式，将预算使用效益与部门及人员考核挂钩，激励提高资金使用效益。</w:t>
      </w:r>
    </w:p>
    <w:p w14:paraId="08DB32EF">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16"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五、其他需要说明的情况</w:t>
      </w:r>
    </w:p>
    <w:bookmarkEnd w:id="27"/>
    <w:p w14:paraId="612A0E61">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1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下个预算周期开始前，组织专门的预算编制培训与研讨活动，重点强化绩效评估方法与绩效目标设定技巧。建立预算执行监督小组，定期检查预算执行情况，及时发现并纠正执行偏差，确保预算严格按计划执行。每季度开展一次预算资金使用效益评估工作，形成评估报告，为后续预算调整与资源优化配置提供依据。</w:t>
      </w:r>
    </w:p>
    <w:p w14:paraId="4E6480E1">
      <w:pPr>
        <w:pStyle w:val="4"/>
        <w:keepNext w:val="0"/>
        <w:keepLines w:val="0"/>
        <w:pageBreakBefore w:val="0"/>
        <w:kinsoku/>
        <w:wordWrap/>
        <w:overflowPunct/>
        <w:topLinePunct w:val="0"/>
        <w:autoSpaceDN/>
        <w:bidi w:val="0"/>
        <w:spacing w:beforeAutospacing="0" w:afterAutospacing="0" w:line="576" w:lineRule="exact"/>
        <w:ind w:left="0" w:leftChars="0" w:firstLine="615"/>
        <w:jc w:val="both"/>
        <w:textAlignment w:val="auto"/>
        <w:rPr>
          <w:rFonts w:hint="eastAsia" w:ascii="仿宋_GB2312" w:hAnsi="仿宋_GB2312" w:eastAsia="仿宋_GB2312" w:cs="仿宋_GB2312"/>
          <w:sz w:val="32"/>
          <w:szCs w:val="32"/>
        </w:rPr>
      </w:pPr>
    </w:p>
    <w:p w14:paraId="3B0AEF07">
      <w:pPr>
        <w:pStyle w:val="4"/>
        <w:keepNext w:val="0"/>
        <w:keepLines w:val="0"/>
        <w:pageBreakBefore w:val="0"/>
        <w:kinsoku/>
        <w:wordWrap/>
        <w:overflowPunct/>
        <w:topLinePunct w:val="0"/>
        <w:autoSpaceDN/>
        <w:bidi w:val="0"/>
        <w:spacing w:beforeAutospacing="0" w:afterAutospacing="0" w:line="576" w:lineRule="exact"/>
        <w:ind w:left="0" w:leftChars="0" w:firstLine="615"/>
        <w:jc w:val="both"/>
        <w:textAlignment w:val="auto"/>
        <w:rPr>
          <w:rFonts w:hint="eastAsia" w:ascii="仿宋_GB2312" w:hAnsi="仿宋_GB2312" w:eastAsia="仿宋_GB2312" w:cs="仿宋_GB2312"/>
          <w:b/>
          <w:bCs/>
          <w:lang w:val="en-US" w:eastAsia="zh-CN"/>
        </w:rPr>
      </w:pPr>
    </w:p>
    <w:p w14:paraId="585D6ABA">
      <w:pPr>
        <w:pStyle w:val="4"/>
        <w:keepNext w:val="0"/>
        <w:keepLines w:val="0"/>
        <w:pageBreakBefore w:val="0"/>
        <w:kinsoku/>
        <w:wordWrap/>
        <w:overflowPunct/>
        <w:topLinePunct w:val="0"/>
        <w:autoSpaceDN/>
        <w:bidi w:val="0"/>
        <w:spacing w:beforeAutospacing="0" w:afterAutospacing="0" w:line="576" w:lineRule="exact"/>
        <w:ind w:left="0" w:leftChars="0" w:firstLine="615"/>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lang w:val="en-US" w:eastAsia="zh-CN"/>
        </w:rPr>
        <w:t xml:space="preserve">                           </w:t>
      </w:r>
      <w:r>
        <w:rPr>
          <w:rFonts w:hint="eastAsia" w:ascii="仿宋_GB2312" w:hAnsi="仿宋_GB2312" w:cs="仿宋_GB2312"/>
          <w:b/>
          <w:bCs/>
          <w:lang w:val="en-US" w:eastAsia="zh-CN"/>
        </w:rPr>
        <w:t xml:space="preserve">     </w:t>
      </w:r>
      <w:r>
        <w:rPr>
          <w:rFonts w:hint="eastAsia" w:ascii="仿宋_GB2312" w:hAnsi="仿宋_GB2312" w:eastAsia="仿宋_GB2312" w:cs="仿宋_GB2312"/>
          <w:b w:val="0"/>
          <w:bCs w:val="0"/>
          <w:sz w:val="32"/>
          <w:szCs w:val="32"/>
          <w:lang w:eastAsia="zh-CN"/>
        </w:rPr>
        <w:t>林芝市</w:t>
      </w:r>
      <w:r>
        <w:rPr>
          <w:rFonts w:hint="eastAsia" w:ascii="仿宋_GB2312" w:hAnsi="仿宋_GB2312" w:cs="仿宋_GB2312"/>
          <w:b w:val="0"/>
          <w:bCs w:val="0"/>
          <w:sz w:val="32"/>
          <w:szCs w:val="32"/>
          <w:lang w:eastAsia="zh-CN"/>
        </w:rPr>
        <w:t>审计局</w:t>
      </w:r>
    </w:p>
    <w:p w14:paraId="1FCA1567">
      <w:pPr>
        <w:pStyle w:val="2"/>
        <w:keepNext w:val="0"/>
        <w:keepLines w:val="0"/>
        <w:pageBreakBefore w:val="0"/>
        <w:kinsoku/>
        <w:wordWrap/>
        <w:overflowPunct/>
        <w:topLinePunct w:val="0"/>
        <w:autoSpaceDN/>
        <w:bidi w:val="0"/>
        <w:spacing w:before="0" w:beforeAutospacing="0" w:after="0" w:afterAutospacing="0" w:line="576" w:lineRule="exact"/>
        <w:ind w:left="0" w:leftChars="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2025年5月10日</w:t>
      </w:r>
    </w:p>
    <w:sectPr>
      <w:headerReference r:id="rId3" w:type="default"/>
      <w:footerReference r:id="rId4" w:type="default"/>
      <w:pgSz w:w="11906" w:h="16838"/>
      <w:pgMar w:top="1701" w:right="1588" w:bottom="1644" w:left="1701" w:header="851" w:footer="992" w:gutter="0"/>
      <w:pgNumType w:fmt="decimal"/>
      <w:cols w:space="425" w:num="1"/>
      <w:docGrid w:type="linesAndChars" w:linePitch="562" w:charSpace="-25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Nimbus Roman No9 L">
    <w:altName w:val="hakuyoxingshu7000"/>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hakuyoxingshu7000">
    <w:panose1 w:val="02000600000000000000"/>
    <w:charset w:val="86"/>
    <w:family w:val="auto"/>
    <w:pitch w:val="default"/>
    <w:sig w:usb0="FFFFFFFF" w:usb1="E9FFFFFF" w:usb2="0000003F" w:usb3="00000000" w:csb0="603F00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CD451">
    <w:pPr>
      <w:pStyle w:val="8"/>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AEA68A6">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A0C1D">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7C07F"/>
    <w:multiLevelType w:val="singleLevel"/>
    <w:tmpl w:val="A6E7C07F"/>
    <w:lvl w:ilvl="0" w:tentative="0">
      <w:start w:val="2"/>
      <w:numFmt w:val="chineseCounting"/>
      <w:suff w:val="nothing"/>
      <w:lvlText w:val="%1、"/>
      <w:lvlJc w:val="left"/>
      <w:rPr>
        <w:rFonts w:hint="eastAsia"/>
      </w:rPr>
    </w:lvl>
  </w:abstractNum>
  <w:abstractNum w:abstractNumId="1">
    <w:nsid w:val="C202548D"/>
    <w:multiLevelType w:val="singleLevel"/>
    <w:tmpl w:val="C202548D"/>
    <w:lvl w:ilvl="0" w:tentative="0">
      <w:start w:val="2"/>
      <w:numFmt w:val="chineseCounting"/>
      <w:suff w:val="nothing"/>
      <w:lvlText w:val="（%1）"/>
      <w:lvlJc w:val="left"/>
      <w:pPr>
        <w:ind w:left="-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U5Njk1NmE3OWM3NDJhMDU0NTM4NjY4NWRlYTlmZDYifQ=="/>
  </w:docVars>
  <w:rsids>
    <w:rsidRoot w:val="00DA04CD"/>
    <w:rsid w:val="00000560"/>
    <w:rsid w:val="00007A67"/>
    <w:rsid w:val="00022542"/>
    <w:rsid w:val="000258AA"/>
    <w:rsid w:val="000D1E99"/>
    <w:rsid w:val="0012286D"/>
    <w:rsid w:val="00132593"/>
    <w:rsid w:val="00145B76"/>
    <w:rsid w:val="00170E39"/>
    <w:rsid w:val="001834A3"/>
    <w:rsid w:val="00195019"/>
    <w:rsid w:val="001B111B"/>
    <w:rsid w:val="001B4856"/>
    <w:rsid w:val="001D33F5"/>
    <w:rsid w:val="001E1FDF"/>
    <w:rsid w:val="001F07DA"/>
    <w:rsid w:val="001F096B"/>
    <w:rsid w:val="0023428B"/>
    <w:rsid w:val="00235EDE"/>
    <w:rsid w:val="00267E35"/>
    <w:rsid w:val="002A7F8F"/>
    <w:rsid w:val="002C4D92"/>
    <w:rsid w:val="002D7EDF"/>
    <w:rsid w:val="002E516E"/>
    <w:rsid w:val="002E5CB6"/>
    <w:rsid w:val="002F1311"/>
    <w:rsid w:val="00314DC0"/>
    <w:rsid w:val="00331AA1"/>
    <w:rsid w:val="00347820"/>
    <w:rsid w:val="00347914"/>
    <w:rsid w:val="00395359"/>
    <w:rsid w:val="003B7E05"/>
    <w:rsid w:val="003D4D40"/>
    <w:rsid w:val="004078CE"/>
    <w:rsid w:val="00410146"/>
    <w:rsid w:val="00413B2F"/>
    <w:rsid w:val="00421D22"/>
    <w:rsid w:val="0043014F"/>
    <w:rsid w:val="004531CF"/>
    <w:rsid w:val="004749F5"/>
    <w:rsid w:val="00486009"/>
    <w:rsid w:val="004B2E77"/>
    <w:rsid w:val="004D35D6"/>
    <w:rsid w:val="004D736E"/>
    <w:rsid w:val="00510F6B"/>
    <w:rsid w:val="00537F7E"/>
    <w:rsid w:val="00566EB1"/>
    <w:rsid w:val="00572A0D"/>
    <w:rsid w:val="00574D73"/>
    <w:rsid w:val="005B06B5"/>
    <w:rsid w:val="005B07DD"/>
    <w:rsid w:val="005B6EB7"/>
    <w:rsid w:val="005C28C3"/>
    <w:rsid w:val="005D4C3F"/>
    <w:rsid w:val="005E6FE2"/>
    <w:rsid w:val="00606F30"/>
    <w:rsid w:val="00620700"/>
    <w:rsid w:val="0062264E"/>
    <w:rsid w:val="006265B7"/>
    <w:rsid w:val="006317C3"/>
    <w:rsid w:val="00665117"/>
    <w:rsid w:val="00675A9A"/>
    <w:rsid w:val="006B0F8D"/>
    <w:rsid w:val="006D4795"/>
    <w:rsid w:val="00736CB1"/>
    <w:rsid w:val="0074594E"/>
    <w:rsid w:val="0075049C"/>
    <w:rsid w:val="00754811"/>
    <w:rsid w:val="007705F1"/>
    <w:rsid w:val="00781B6C"/>
    <w:rsid w:val="0078264B"/>
    <w:rsid w:val="007A1F56"/>
    <w:rsid w:val="007A7399"/>
    <w:rsid w:val="00804DCB"/>
    <w:rsid w:val="00816A2A"/>
    <w:rsid w:val="008428B2"/>
    <w:rsid w:val="0084340E"/>
    <w:rsid w:val="0086235A"/>
    <w:rsid w:val="00876A57"/>
    <w:rsid w:val="00880F2C"/>
    <w:rsid w:val="008B525A"/>
    <w:rsid w:val="008C30AE"/>
    <w:rsid w:val="008E75C3"/>
    <w:rsid w:val="0090022C"/>
    <w:rsid w:val="00982492"/>
    <w:rsid w:val="009D75F0"/>
    <w:rsid w:val="00A66BD5"/>
    <w:rsid w:val="00A813BE"/>
    <w:rsid w:val="00A8644D"/>
    <w:rsid w:val="00A91495"/>
    <w:rsid w:val="00AC5B70"/>
    <w:rsid w:val="00AF7207"/>
    <w:rsid w:val="00B05F42"/>
    <w:rsid w:val="00B12D08"/>
    <w:rsid w:val="00B32B1B"/>
    <w:rsid w:val="00B55F8F"/>
    <w:rsid w:val="00B857D8"/>
    <w:rsid w:val="00B953DC"/>
    <w:rsid w:val="00BA5204"/>
    <w:rsid w:val="00BF3EFE"/>
    <w:rsid w:val="00BF4502"/>
    <w:rsid w:val="00C005AF"/>
    <w:rsid w:val="00C10A76"/>
    <w:rsid w:val="00C112EA"/>
    <w:rsid w:val="00C13943"/>
    <w:rsid w:val="00C65605"/>
    <w:rsid w:val="00C8769E"/>
    <w:rsid w:val="00CD5F4B"/>
    <w:rsid w:val="00D24C0F"/>
    <w:rsid w:val="00D41CC7"/>
    <w:rsid w:val="00D45282"/>
    <w:rsid w:val="00D67E60"/>
    <w:rsid w:val="00D73EB4"/>
    <w:rsid w:val="00D74AD4"/>
    <w:rsid w:val="00D82FAA"/>
    <w:rsid w:val="00DA04CD"/>
    <w:rsid w:val="00DA43A7"/>
    <w:rsid w:val="00DA5CEB"/>
    <w:rsid w:val="00DC37C4"/>
    <w:rsid w:val="00DC4199"/>
    <w:rsid w:val="00DE17BB"/>
    <w:rsid w:val="00DF7A41"/>
    <w:rsid w:val="00E03302"/>
    <w:rsid w:val="00E21FA4"/>
    <w:rsid w:val="00E23CAC"/>
    <w:rsid w:val="00E3272E"/>
    <w:rsid w:val="00E71A39"/>
    <w:rsid w:val="00E82D5B"/>
    <w:rsid w:val="00EA4E69"/>
    <w:rsid w:val="00EC4520"/>
    <w:rsid w:val="00ED3E32"/>
    <w:rsid w:val="00ED5CA9"/>
    <w:rsid w:val="00EF1D42"/>
    <w:rsid w:val="00F04107"/>
    <w:rsid w:val="00F14CD1"/>
    <w:rsid w:val="00F43167"/>
    <w:rsid w:val="00F43EA4"/>
    <w:rsid w:val="00F57915"/>
    <w:rsid w:val="00FE5213"/>
    <w:rsid w:val="00FF40BF"/>
    <w:rsid w:val="031D6C06"/>
    <w:rsid w:val="03483413"/>
    <w:rsid w:val="041928FB"/>
    <w:rsid w:val="05C80A67"/>
    <w:rsid w:val="07A1136F"/>
    <w:rsid w:val="084111DA"/>
    <w:rsid w:val="091F2681"/>
    <w:rsid w:val="093C0D06"/>
    <w:rsid w:val="0956020A"/>
    <w:rsid w:val="0BA13F3D"/>
    <w:rsid w:val="0C966CB2"/>
    <w:rsid w:val="0CAD24F6"/>
    <w:rsid w:val="0CEF718A"/>
    <w:rsid w:val="0D674D12"/>
    <w:rsid w:val="0DF61620"/>
    <w:rsid w:val="0FCB2149"/>
    <w:rsid w:val="10A67D57"/>
    <w:rsid w:val="12E55E8C"/>
    <w:rsid w:val="13DE3762"/>
    <w:rsid w:val="15940C70"/>
    <w:rsid w:val="15F76EF0"/>
    <w:rsid w:val="16065148"/>
    <w:rsid w:val="17B6679E"/>
    <w:rsid w:val="18411ED8"/>
    <w:rsid w:val="19434185"/>
    <w:rsid w:val="19533227"/>
    <w:rsid w:val="1B604B3A"/>
    <w:rsid w:val="1BBD409D"/>
    <w:rsid w:val="1BC33A5C"/>
    <w:rsid w:val="1DF83068"/>
    <w:rsid w:val="1E821E95"/>
    <w:rsid w:val="1F0979D8"/>
    <w:rsid w:val="1F292AD2"/>
    <w:rsid w:val="1FEA5A5B"/>
    <w:rsid w:val="1FFF65F1"/>
    <w:rsid w:val="20DA02DF"/>
    <w:rsid w:val="218C7EF9"/>
    <w:rsid w:val="2228286B"/>
    <w:rsid w:val="22471A69"/>
    <w:rsid w:val="22482F0D"/>
    <w:rsid w:val="226755DD"/>
    <w:rsid w:val="23642C35"/>
    <w:rsid w:val="237E77B5"/>
    <w:rsid w:val="244F4FEC"/>
    <w:rsid w:val="247D0108"/>
    <w:rsid w:val="27606A43"/>
    <w:rsid w:val="279F4671"/>
    <w:rsid w:val="288F6EA2"/>
    <w:rsid w:val="28AD2E19"/>
    <w:rsid w:val="2A50295E"/>
    <w:rsid w:val="2CA36A90"/>
    <w:rsid w:val="2EF10DD9"/>
    <w:rsid w:val="2FCC35E4"/>
    <w:rsid w:val="3103697D"/>
    <w:rsid w:val="31BD2380"/>
    <w:rsid w:val="33897889"/>
    <w:rsid w:val="33E31994"/>
    <w:rsid w:val="35054618"/>
    <w:rsid w:val="36800753"/>
    <w:rsid w:val="39946FED"/>
    <w:rsid w:val="3B0D4B34"/>
    <w:rsid w:val="3B3F1DAA"/>
    <w:rsid w:val="3C017F5D"/>
    <w:rsid w:val="3C517B1A"/>
    <w:rsid w:val="3C784FF2"/>
    <w:rsid w:val="3D951C4F"/>
    <w:rsid w:val="3DFC546C"/>
    <w:rsid w:val="406106C5"/>
    <w:rsid w:val="40694DC0"/>
    <w:rsid w:val="40E203D3"/>
    <w:rsid w:val="414478E0"/>
    <w:rsid w:val="4151103E"/>
    <w:rsid w:val="418F7DB9"/>
    <w:rsid w:val="439D46D7"/>
    <w:rsid w:val="44E119CD"/>
    <w:rsid w:val="4597570B"/>
    <w:rsid w:val="45F4643C"/>
    <w:rsid w:val="478F1898"/>
    <w:rsid w:val="483E2094"/>
    <w:rsid w:val="4B4A046A"/>
    <w:rsid w:val="4D7C15D5"/>
    <w:rsid w:val="5163582E"/>
    <w:rsid w:val="52547FC1"/>
    <w:rsid w:val="54E729E6"/>
    <w:rsid w:val="550911FE"/>
    <w:rsid w:val="55365AB7"/>
    <w:rsid w:val="578D647B"/>
    <w:rsid w:val="587344A7"/>
    <w:rsid w:val="58AA1B0C"/>
    <w:rsid w:val="58E22FB8"/>
    <w:rsid w:val="59A42175"/>
    <w:rsid w:val="59B648E9"/>
    <w:rsid w:val="5E041626"/>
    <w:rsid w:val="5F1527E7"/>
    <w:rsid w:val="5F8C4406"/>
    <w:rsid w:val="5FBE417C"/>
    <w:rsid w:val="604502A6"/>
    <w:rsid w:val="607C0A8D"/>
    <w:rsid w:val="61954B1F"/>
    <w:rsid w:val="619F5BD5"/>
    <w:rsid w:val="62697796"/>
    <w:rsid w:val="63E64409"/>
    <w:rsid w:val="64437109"/>
    <w:rsid w:val="64BF7CA4"/>
    <w:rsid w:val="65223549"/>
    <w:rsid w:val="657704D8"/>
    <w:rsid w:val="670D74C5"/>
    <w:rsid w:val="68575922"/>
    <w:rsid w:val="69201240"/>
    <w:rsid w:val="69351CBF"/>
    <w:rsid w:val="69780FAF"/>
    <w:rsid w:val="6A085F23"/>
    <w:rsid w:val="6DD115EE"/>
    <w:rsid w:val="6E0C7681"/>
    <w:rsid w:val="6E0E5823"/>
    <w:rsid w:val="6E796721"/>
    <w:rsid w:val="6F793947"/>
    <w:rsid w:val="700C488E"/>
    <w:rsid w:val="705F3EC5"/>
    <w:rsid w:val="70FA33CB"/>
    <w:rsid w:val="717107DF"/>
    <w:rsid w:val="71903A36"/>
    <w:rsid w:val="71EC1300"/>
    <w:rsid w:val="720D3494"/>
    <w:rsid w:val="73E62FB9"/>
    <w:rsid w:val="767B047D"/>
    <w:rsid w:val="76BE1C0E"/>
    <w:rsid w:val="76E41A31"/>
    <w:rsid w:val="773A7329"/>
    <w:rsid w:val="776A3D15"/>
    <w:rsid w:val="7B26100B"/>
    <w:rsid w:val="7BA431DC"/>
    <w:rsid w:val="7BCB34B2"/>
    <w:rsid w:val="7C5E491E"/>
    <w:rsid w:val="7CB36944"/>
    <w:rsid w:val="7DAF7182"/>
    <w:rsid w:val="7FEECF82"/>
    <w:rsid w:val="A6BBB4BF"/>
    <w:rsid w:val="BA7B23C6"/>
    <w:rsid w:val="EDF9D4ED"/>
    <w:rsid w:val="F32F7E54"/>
    <w:rsid w:val="FB7ECC51"/>
    <w:rsid w:val="FE734873"/>
    <w:rsid w:val="FFBD72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paragraph" w:styleId="3">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adjustRightInd w:val="0"/>
      <w:snapToGrid w:val="0"/>
      <w:spacing w:line="580" w:lineRule="atLeast"/>
    </w:pPr>
    <w:rPr>
      <w:color w:val="000000"/>
    </w:rPr>
  </w:style>
  <w:style w:type="paragraph" w:styleId="5">
    <w:name w:val="Body Text Indent"/>
    <w:basedOn w:val="1"/>
    <w:next w:val="6"/>
    <w:qFormat/>
    <w:uiPriority w:val="0"/>
    <w:pPr>
      <w:ind w:firstLine="640" w:firstLineChars="200"/>
    </w:pPr>
    <w:rPr>
      <w:rFonts w:ascii="仿宋_GB2312" w:eastAsia="仿宋_GB2312"/>
      <w:sz w:val="32"/>
    </w:rPr>
  </w:style>
  <w:style w:type="paragraph" w:styleId="6">
    <w:name w:val="Body Text First Indent 2"/>
    <w:basedOn w:val="5"/>
    <w:next w:val="1"/>
    <w:qFormat/>
    <w:uiPriority w:val="0"/>
    <w:pPr>
      <w:ind w:firstLine="42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6"/>
    <w:qFormat/>
    <w:uiPriority w:val="0"/>
    <w:pPr>
      <w:snapToGrid w:val="0"/>
      <w:jc w:val="left"/>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12">
    <w:name w:val="Body Text First Indent"/>
    <w:basedOn w:val="4"/>
    <w:next w:val="4"/>
    <w:qFormat/>
    <w:uiPriority w:val="0"/>
    <w:pPr>
      <w:ind w:firstLine="0" w:firstLineChars="0"/>
    </w:pPr>
    <w:rPr>
      <w:rFonts w:ascii="Times New Roman" w:hAnsi="Times New Roman"/>
    </w:rPr>
  </w:style>
  <w:style w:type="paragraph" w:customStyle="1" w:styleId="15">
    <w:name w:val="_Style 5"/>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16">
    <w:name w:val="正文首行缩进 21"/>
    <w:basedOn w:val="1"/>
    <w:qFormat/>
    <w:uiPriority w:val="0"/>
    <w:pPr>
      <w:spacing w:line="360" w:lineRule="auto"/>
      <w:ind w:firstLine="420" w:firstLineChars="200"/>
      <w:textAlignment w:val="baseline"/>
    </w:pPr>
    <w:rPr>
      <w:rFonts w:eastAsia="宋体"/>
      <w:sz w:val="24"/>
    </w:rPr>
  </w:style>
  <w:style w:type="paragraph" w:customStyle="1" w:styleId="17">
    <w:name w:val="_Style 13"/>
    <w:qFormat/>
    <w:uiPriority w:val="0"/>
    <w:pPr>
      <w:spacing w:before="120" w:after="120" w:line="288" w:lineRule="auto"/>
      <w:ind w:left="0"/>
      <w:jc w:val="left"/>
    </w:pPr>
    <w:rPr>
      <w:rFonts w:ascii="Arial" w:hAnsi="Arial" w:eastAsia="等线" w:cs="Arial"/>
      <w:sz w:val="22"/>
      <w:szCs w:val="22"/>
    </w:rPr>
  </w:style>
  <w:style w:type="paragraph" w:customStyle="1" w:styleId="18">
    <w:name w:val="常用样式（方正仿宋简）"/>
    <w:basedOn w:val="1"/>
    <w:qFormat/>
    <w:uiPriority w:val="99"/>
    <w:pPr>
      <w:spacing w:line="560" w:lineRule="exact"/>
      <w:ind w:firstLine="640" w:firstLineChars="200"/>
    </w:pPr>
    <w:rPr>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7371</Words>
  <Characters>7691</Characters>
  <Lines>21</Lines>
  <Paragraphs>10</Paragraphs>
  <TotalTime>25</TotalTime>
  <ScaleCrop>false</ScaleCrop>
  <LinksUpToDate>false</LinksUpToDate>
  <CharactersWithSpaces>7806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2020-07-14T16:14:00Z</dcterms:created>
  <dc:creator>shx</dc:creator>
  <cp:lastModifiedBy>dj</cp:lastModifiedBy>
  <cp:lastPrinted>2025-11-05T02:12:53Z</cp:lastPrinted>
  <dcterms:modified xsi:type="dcterms:W3CDTF">2025-11-05T02:17:29Z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eyJoZGlkIjoiODMwMWIyNjIzNTY4ZmZmYTU4YjI4YzM5NWY5YTJlODgifQ==</vt:lpwstr>
  </property>
  <property fmtid="{D5CDD505-2E9C-101B-9397-08002B2CF9AE}" pid="4" name="ICV">
    <vt:lpwstr>1FA167DE0AE644BB999E4E55B1BCBF3A_12</vt:lpwstr>
  </property>
</Properties>
</file>